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80" w:type="dxa"/>
        <w:tblLook w:val="04A0" w:firstRow="1" w:lastRow="0" w:firstColumn="1" w:lastColumn="0" w:noHBand="0" w:noVBand="1"/>
      </w:tblPr>
      <w:tblGrid>
        <w:gridCol w:w="3280"/>
        <w:gridCol w:w="1340"/>
        <w:gridCol w:w="1720"/>
        <w:gridCol w:w="1720"/>
        <w:gridCol w:w="820"/>
      </w:tblGrid>
      <w:tr w:rsidR="0005609D" w:rsidRPr="0005609D" w:rsidTr="001E4660">
        <w:trPr>
          <w:trHeight w:val="300"/>
        </w:trPr>
        <w:tc>
          <w:tcPr>
            <w:tcW w:w="4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Variables</w:t>
            </w:r>
          </w:p>
        </w:tc>
        <w:tc>
          <w:tcPr>
            <w:tcW w:w="4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Bilirubin</w:t>
            </w:r>
          </w:p>
        </w:tc>
      </w:tr>
      <w:tr w:rsidR="0005609D" w:rsidRPr="0005609D" w:rsidTr="001E4660">
        <w:trPr>
          <w:trHeight w:val="300"/>
        </w:trPr>
        <w:tc>
          <w:tcPr>
            <w:tcW w:w="4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Collected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Not collected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p-value</w:t>
            </w:r>
          </w:p>
        </w:tc>
      </w:tr>
      <w:tr w:rsidR="0005609D" w:rsidRPr="0005609D" w:rsidTr="001E4660">
        <w:trPr>
          <w:trHeight w:val="300"/>
        </w:trPr>
        <w:tc>
          <w:tcPr>
            <w:tcW w:w="4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(n=399)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(n=253)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</w:p>
        </w:tc>
      </w:tr>
      <w:tr w:rsidR="0005609D" w:rsidRPr="0005609D" w:rsidTr="001E4660">
        <w:trPr>
          <w:trHeight w:val="300"/>
        </w:trPr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399 (%)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253 (%)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0.641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Chronic liver disease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No (0)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337 (84.5)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226 (89.3)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OH (1)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31 (7.8)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14 (5.5)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HCV (2)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12 (3)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 (1.6)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HBV (3)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 (1)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 (0.4)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NASH (4)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 (1)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 (0.8)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Others (5)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11(2.8)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6 (2.4)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Gender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Female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204 (51.1)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130(51.4)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Localization of primary cancer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Liver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46 (9.2)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23 (9.1)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0.731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Biliary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23 (4.6)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13 (5.1)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Pancreas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79 (15.8)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49 (19.4)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Other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251 (50.3)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168 (66.4)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Encephalopathy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Yes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82 (20.6)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81 (32.4)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0.001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Infection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Yes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97 (24.3)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48 (19.0)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0.133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Spontaneous bacterial peritonitis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Yes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 (2.0)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 (3.2)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0.497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Gastrointestinal bleeding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Yes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16 (4.0)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11 (4.4)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0.991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proofErr w:type="spellStart"/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Dyspnea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Yes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136 (34.1)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90 (36.0)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0.679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Oral intake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Nothing Sips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19 (4.8)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31 (12.6)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85 (21.5)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66 (26.7)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Jaundice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Yes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106 (26.6)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67 (26.6)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&gt;0.99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ECOG score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 or 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21 (5.3)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9 (3.6)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0.006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254 (63.8)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133 (53.4)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9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123 (30.9)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107 (43.0)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Age (years)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Median (IQR)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73.0 (64.5 to 81.0)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73.0 (64 to 81)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0.77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Albumin, g/L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Median (IQR)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26 (21 to 30)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22.5 (21.0 to 28.9)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0.192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227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6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lastRenderedPageBreak/>
              <w:t xml:space="preserve">Urea, </w:t>
            </w:r>
            <w:proofErr w:type="spellStart"/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mmol</w:t>
            </w:r>
            <w:proofErr w:type="spellEnd"/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/L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Median (IQR)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7.3 (4.9 to 11.8)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7.0 (5.2 to 11.5)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0.729</w:t>
            </w:r>
          </w:p>
        </w:tc>
      </w:tr>
      <w:tr w:rsidR="0005609D" w:rsidRPr="0005609D" w:rsidTr="001E4660">
        <w:trPr>
          <w:trHeight w:val="300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Missing data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5</w:t>
            </w:r>
          </w:p>
        </w:tc>
      </w:tr>
      <w:tr w:rsidR="0005609D" w:rsidRPr="0005609D" w:rsidTr="001E4660">
        <w:trPr>
          <w:trHeight w:val="645"/>
        </w:trPr>
        <w:tc>
          <w:tcPr>
            <w:tcW w:w="8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09D" w:rsidRPr="0005609D" w:rsidRDefault="0005609D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 xml:space="preserve">OH: alcoholic; HCV: hepatitis C virus; HBV: hepatitis B virus; NASH: non-alcoholic </w:t>
            </w:r>
            <w:proofErr w:type="spellStart"/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steatohepatitis</w:t>
            </w:r>
            <w:proofErr w:type="spellEnd"/>
            <w:r w:rsidRPr="0005609D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; IQRL: interquartile range.</w:t>
            </w:r>
          </w:p>
        </w:tc>
      </w:tr>
    </w:tbl>
    <w:p w:rsidR="00B1515C" w:rsidRPr="0005609D" w:rsidRDefault="00B1515C">
      <w:pPr>
        <w:rPr>
          <w:rFonts w:ascii="Times New Roman" w:hAnsi="Times New Roman" w:cs="Times New Roman"/>
        </w:rPr>
      </w:pPr>
    </w:p>
    <w:p w:rsidR="0005609D" w:rsidRPr="0005609D" w:rsidRDefault="0005609D" w:rsidP="000560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IN"/>
        </w:rPr>
      </w:pPr>
      <w:r w:rsidRPr="0005609D">
        <w:rPr>
          <w:rFonts w:ascii="Times New Roman" w:hAnsi="Times New Roman" w:cs="Times New Roman"/>
          <w:b/>
          <w:bCs/>
          <w:lang w:val="en-IN"/>
        </w:rPr>
        <w:t xml:space="preserve">Appendix 1: </w:t>
      </w:r>
      <w:r w:rsidRPr="0005609D">
        <w:rPr>
          <w:rFonts w:ascii="Times New Roman" w:hAnsi="Times New Roman" w:cs="Times New Roman"/>
          <w:lang w:val="en-IN"/>
        </w:rPr>
        <w:t>Comparison of patient characteristics according to the collection or not of</w:t>
      </w:r>
    </w:p>
    <w:p w:rsidR="00CE6D31" w:rsidRDefault="00CE6D31" w:rsidP="0005609D">
      <w:pPr>
        <w:rPr>
          <w:rFonts w:ascii="Times New Roman" w:hAnsi="Times New Roman" w:cs="Times New Roman"/>
          <w:lang w:val="en-IN"/>
        </w:rPr>
      </w:pPr>
      <w:proofErr w:type="gramStart"/>
      <w:r w:rsidRPr="0005609D">
        <w:rPr>
          <w:rFonts w:ascii="Times New Roman" w:hAnsi="Times New Roman" w:cs="Times New Roman"/>
          <w:lang w:val="en-IN"/>
        </w:rPr>
        <w:t>B</w:t>
      </w:r>
      <w:r w:rsidR="0005609D" w:rsidRPr="0005609D">
        <w:rPr>
          <w:rFonts w:ascii="Times New Roman" w:hAnsi="Times New Roman" w:cs="Times New Roman"/>
          <w:lang w:val="en-IN"/>
        </w:rPr>
        <w:t>ilirubi</w:t>
      </w:r>
      <w:r>
        <w:rPr>
          <w:rFonts w:ascii="Times New Roman" w:hAnsi="Times New Roman" w:cs="Times New Roman"/>
          <w:lang w:val="en-IN"/>
        </w:rPr>
        <w:t>n.</w:t>
      </w:r>
      <w:proofErr w:type="gramEnd"/>
    </w:p>
    <w:p w:rsidR="0005609D" w:rsidRDefault="00CE6D31" w:rsidP="000560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IN" w:eastAsia="en-IN"/>
        </w:rPr>
        <w:drawing>
          <wp:inline distT="0" distB="0" distL="0" distR="0">
            <wp:extent cx="5731510" cy="492543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92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D31" w:rsidRDefault="00CE6D31" w:rsidP="0005609D">
      <w:pPr>
        <w:rPr>
          <w:rFonts w:ascii="Times New Roman" w:hAnsi="Times New Roman" w:cs="Times New Roman"/>
        </w:rPr>
      </w:pPr>
    </w:p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3729"/>
        <w:gridCol w:w="3580"/>
        <w:gridCol w:w="2076"/>
      </w:tblGrid>
      <w:tr w:rsidR="00CE6D31" w:rsidRPr="00CE6D31" w:rsidTr="00CE6D31">
        <w:trPr>
          <w:trHeight w:val="300"/>
        </w:trPr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Variables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b/>
                <w:color w:val="000000"/>
                <w:lang w:val="en-IN" w:eastAsia="en-IN"/>
              </w:rPr>
              <w:t>Survival (95% confidence interval)</w:t>
            </w:r>
          </w:p>
        </w:tc>
      </w:tr>
      <w:tr w:rsidR="00CE6D31" w:rsidRPr="00CE6D31" w:rsidTr="00CE6D31">
        <w:trPr>
          <w:trHeight w:val="900"/>
        </w:trPr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Days from admission to palliative care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Patients with collected bilirubin (n=399)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Patients with no collected bilirubin (n=253)</w:t>
            </w:r>
          </w:p>
        </w:tc>
      </w:tr>
      <w:tr w:rsidR="00CE6D31" w:rsidRPr="00CE6D31" w:rsidTr="00CE6D31">
        <w:trPr>
          <w:trHeight w:val="300"/>
        </w:trPr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70.1 (65.7 to 74.8)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58.1 (52.3 to 64.5)</w:t>
            </w:r>
          </w:p>
        </w:tc>
      </w:tr>
      <w:tr w:rsidR="00CE6D31" w:rsidRPr="00CE6D31" w:rsidTr="00CE6D31">
        <w:trPr>
          <w:trHeight w:val="300"/>
        </w:trPr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22.3 (18.5 to 26.8)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10.4 (7.3 to 15.0)</w:t>
            </w:r>
          </w:p>
        </w:tc>
      </w:tr>
      <w:tr w:rsidR="00CE6D31" w:rsidRPr="00CE6D31" w:rsidTr="00CE6D31">
        <w:trPr>
          <w:trHeight w:val="300"/>
        </w:trPr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60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8.0 (5.7 to 11.3)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2.8 (1.4 to 5.8)</w:t>
            </w:r>
          </w:p>
        </w:tc>
      </w:tr>
      <w:tr w:rsidR="00CE6D31" w:rsidRPr="00CE6D31" w:rsidTr="00CE6D31">
        <w:trPr>
          <w:trHeight w:val="300"/>
        </w:trPr>
        <w:tc>
          <w:tcPr>
            <w:tcW w:w="3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90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2.3 (1.2 to 4.5)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D31" w:rsidRPr="00CE6D31" w:rsidRDefault="00CE6D31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CE6D31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1.2 (0.4 to 3.7)</w:t>
            </w:r>
          </w:p>
        </w:tc>
      </w:tr>
    </w:tbl>
    <w:p w:rsidR="00CE6D31" w:rsidRDefault="00CE6D31" w:rsidP="0005609D">
      <w:pPr>
        <w:rPr>
          <w:rFonts w:ascii="Times New Roman" w:hAnsi="Times New Roman" w:cs="Times New Roman"/>
        </w:rPr>
      </w:pPr>
    </w:p>
    <w:p w:rsidR="00CE6D31" w:rsidRDefault="00A37F7B" w:rsidP="0005609D">
      <w:pPr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*Survival curves were compared using a log-rank test.</w:t>
      </w:r>
    </w:p>
    <w:p w:rsidR="00A37F7B" w:rsidRDefault="00A37F7B" w:rsidP="00A37F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IN"/>
        </w:rPr>
        <w:t xml:space="preserve">Appendix 2: </w:t>
      </w:r>
      <w:r>
        <w:rPr>
          <w:rFonts w:ascii="Times New Roman" w:hAnsi="Times New Roman" w:cs="Times New Roman"/>
          <w:sz w:val="24"/>
          <w:szCs w:val="24"/>
          <w:lang w:val="en-IN"/>
        </w:rPr>
        <w:t>Kaplan-Meier survival estimates in patients with bilirubin collected and in</w:t>
      </w:r>
    </w:p>
    <w:p w:rsidR="00A37F7B" w:rsidRDefault="00A37F7B" w:rsidP="00A37F7B">
      <w:pPr>
        <w:rPr>
          <w:rFonts w:ascii="Times New Roman" w:hAnsi="Times New Roman" w:cs="Times New Roman"/>
          <w:sz w:val="24"/>
          <w:szCs w:val="24"/>
          <w:lang w:val="en-IN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IN"/>
        </w:rPr>
        <w:t>patients</w:t>
      </w:r>
      <w:proofErr w:type="gramEnd"/>
      <w:r>
        <w:rPr>
          <w:rFonts w:ascii="Times New Roman" w:hAnsi="Times New Roman" w:cs="Times New Roman"/>
          <w:sz w:val="24"/>
          <w:szCs w:val="24"/>
          <w:lang w:val="en-IN"/>
        </w:rPr>
        <w:t xml:space="preserve"> with no bilirubin collecion.*</w:t>
      </w:r>
    </w:p>
    <w:tbl>
      <w:tblPr>
        <w:tblW w:w="4940" w:type="dxa"/>
        <w:tblInd w:w="93" w:type="dxa"/>
        <w:tblLook w:val="04A0" w:firstRow="1" w:lastRow="0" w:firstColumn="1" w:lastColumn="0" w:noHBand="0" w:noVBand="1"/>
      </w:tblPr>
      <w:tblGrid>
        <w:gridCol w:w="1160"/>
        <w:gridCol w:w="3780"/>
      </w:tblGrid>
      <w:tr w:rsidR="00A37F7B" w:rsidRPr="00A37F7B" w:rsidTr="00A37F7B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bookmarkStart w:id="0" w:name="_GoBack" w:colFirst="0" w:colLast="1"/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Factor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Regression coefficient (standard error)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Intercept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-3.16 (0.31)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Oral intake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Normal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 (reference)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Sips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1.22 (0.41)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Nothing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2.68 (0.89)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ECOG score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-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1, 2 or 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 (reference)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2.52 (0.38)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Bilirubin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≤</w:t>
            </w:r>
            <w:r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 xml:space="preserve"> </w:t>
            </w: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25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 (reference)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&gt;25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0.90 (0.34)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Urea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 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&lt;15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0 (reference)</w:t>
            </w:r>
          </w:p>
        </w:tc>
      </w:tr>
      <w:tr w:rsidR="00A37F7B" w:rsidRPr="00A37F7B" w:rsidTr="00A37F7B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≥</w:t>
            </w:r>
            <w:r w:rsidR="004C2A63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 xml:space="preserve"> </w:t>
            </w: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F7B" w:rsidRPr="00A37F7B" w:rsidRDefault="00A37F7B" w:rsidP="001E46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A37F7B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1.47 (0.41)</w:t>
            </w:r>
          </w:p>
        </w:tc>
      </w:tr>
      <w:bookmarkEnd w:id="0"/>
    </w:tbl>
    <w:p w:rsidR="004C2A63" w:rsidRDefault="004C2A63" w:rsidP="00A37F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IN"/>
        </w:rPr>
      </w:pPr>
    </w:p>
    <w:p w:rsidR="00A37F7B" w:rsidRDefault="00A37F7B" w:rsidP="00B12A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IN"/>
        </w:rPr>
        <w:t xml:space="preserve">Appendix 3: </w:t>
      </w:r>
      <w:r>
        <w:rPr>
          <w:rFonts w:ascii="Times New Roman" w:hAnsi="Times New Roman" w:cs="Times New Roman"/>
          <w:sz w:val="24"/>
          <w:szCs w:val="24"/>
          <w:lang w:val="en-IN"/>
        </w:rPr>
        <w:t>Equation for predicting 7-day mortality showing</w:t>
      </w:r>
      <w:r w:rsidR="00B12ABD">
        <w:rPr>
          <w:rFonts w:ascii="Times New Roman" w:hAnsi="Times New Roman" w:cs="Times New Roman"/>
          <w:sz w:val="24"/>
          <w:szCs w:val="24"/>
          <w:lang w:val="en-IN"/>
        </w:rPr>
        <w:t xml:space="preserve"> the regression coefficients of </w:t>
      </w:r>
      <w:r>
        <w:rPr>
          <w:rFonts w:ascii="Times New Roman" w:hAnsi="Times New Roman" w:cs="Times New Roman"/>
          <w:sz w:val="24"/>
          <w:szCs w:val="24"/>
          <w:lang w:val="en-IN"/>
        </w:rPr>
        <w:t>the retained logistic regression model.</w:t>
      </w:r>
    </w:p>
    <w:p w:rsidR="00B12ABD" w:rsidRDefault="00B12ABD" w:rsidP="00B12A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N"/>
        </w:rPr>
      </w:pPr>
    </w:p>
    <w:p w:rsidR="00B12ABD" w:rsidRDefault="00B12ABD" w:rsidP="00B12A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N"/>
        </w:rPr>
      </w:pPr>
    </w:p>
    <w:p w:rsidR="00B12ABD" w:rsidRDefault="00B12ABD" w:rsidP="00605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For a patient, the sum of the regression coefficients is calculated according to the level of factors. For instance, a patient with the level “sips” for the factor “oral intake”, an ECOG score of 2, a bilirubin level of 15 and a urea level of 17, the sum of the regression coefficients (including the intercept) is -3.16+1.22+1.47=-0.47.</w:t>
      </w:r>
    </w:p>
    <w:p w:rsidR="00B12ABD" w:rsidRDefault="00B12ABD" w:rsidP="00605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 xml:space="preserve">The 7-day mortality predicted by the model for this patient is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IN"/>
        </w:rPr>
        <w:t>exp</w:t>
      </w:r>
      <w:proofErr w:type="spellEnd"/>
      <w:r>
        <w:rPr>
          <w:rFonts w:ascii="Times New Roman" w:hAnsi="Times New Roman" w:cs="Times New Roman"/>
          <w:sz w:val="24"/>
          <w:szCs w:val="24"/>
          <w:lang w:val="en-IN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IN"/>
        </w:rPr>
        <w:t>-0.47)/(1+exp(-</w:t>
      </w:r>
    </w:p>
    <w:p w:rsidR="00B12ABD" w:rsidRDefault="00B12ABD" w:rsidP="0060584C">
      <w:pPr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0.47)</w:t>
      </w:r>
      <w:proofErr w:type="gramStart"/>
      <w:r>
        <w:rPr>
          <w:rFonts w:ascii="Times New Roman" w:hAnsi="Times New Roman" w:cs="Times New Roman"/>
          <w:sz w:val="24"/>
          <w:szCs w:val="24"/>
          <w:lang w:val="en-IN"/>
        </w:rPr>
        <w:t>)=</w:t>
      </w:r>
      <w:proofErr w:type="gramEnd"/>
      <w:r>
        <w:rPr>
          <w:rFonts w:ascii="Times New Roman" w:hAnsi="Times New Roman" w:cs="Times New Roman"/>
          <w:sz w:val="24"/>
          <w:szCs w:val="24"/>
          <w:lang w:val="en-IN"/>
        </w:rPr>
        <w:t>0.412 or 41.2%.</w:t>
      </w:r>
    </w:p>
    <w:p w:rsidR="00B12ABD" w:rsidRDefault="00B12ABD" w:rsidP="00B12ABD">
      <w:pPr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noProof/>
          <w:sz w:val="24"/>
          <w:szCs w:val="24"/>
          <w:lang w:val="en-IN" w:eastAsia="en-IN"/>
        </w:rPr>
        <w:lastRenderedPageBreak/>
        <w:drawing>
          <wp:inline distT="0" distB="0" distL="0" distR="0">
            <wp:extent cx="5731510" cy="4925430"/>
            <wp:effectExtent l="0" t="0" r="254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92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ABD" w:rsidRDefault="00B12ABD" w:rsidP="00B12ABD">
      <w:pPr>
        <w:rPr>
          <w:rFonts w:ascii="Times New Roman" w:hAnsi="Times New Roman" w:cs="Times New Roman"/>
          <w:sz w:val="24"/>
          <w:szCs w:val="24"/>
          <w:lang w:val="en-IN"/>
        </w:rPr>
      </w:pPr>
    </w:p>
    <w:p w:rsidR="00B12ABD" w:rsidRPr="0005609D" w:rsidRDefault="00B12ABD" w:rsidP="00B12A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IN"/>
        </w:rPr>
        <w:t>Appendix 4</w:t>
      </w:r>
      <w:r>
        <w:rPr>
          <w:rFonts w:ascii="Times New Roman" w:hAnsi="Times New Roman" w:cs="Times New Roman"/>
          <w:sz w:val="24"/>
          <w:szCs w:val="24"/>
          <w:lang w:val="en-IN"/>
        </w:rPr>
        <w:t>: Survival curves according to the 7-day mortality predicted by the model.</w:t>
      </w:r>
    </w:p>
    <w:sectPr w:rsidR="00B12ABD" w:rsidRPr="000560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73"/>
    <w:rsid w:val="0005609D"/>
    <w:rsid w:val="001E4660"/>
    <w:rsid w:val="004C2A63"/>
    <w:rsid w:val="004F4873"/>
    <w:rsid w:val="0060584C"/>
    <w:rsid w:val="00A37F7B"/>
    <w:rsid w:val="00B12ABD"/>
    <w:rsid w:val="00B1515C"/>
    <w:rsid w:val="00C2765D"/>
    <w:rsid w:val="00CE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3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3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457</Words>
  <Characters>2610</Characters>
  <Application>Microsoft Office Word</Application>
  <DocSecurity>0</DocSecurity>
  <Lines>21</Lines>
  <Paragraphs>6</Paragraphs>
  <ScaleCrop>false</ScaleCrop>
  <Company>Microsoft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Priti Snigdha Pattnaik</dc:creator>
  <cp:lastModifiedBy>Priti Snigdha Pattnaik</cp:lastModifiedBy>
  <cp:revision>11</cp:revision>
  <dcterms:created xsi:type="dcterms:W3CDTF">2018-06-19T08:37:00Z</dcterms:created>
  <dcterms:modified xsi:type="dcterms:W3CDTF">2018-07-05T08:54:00Z</dcterms:modified>
</cp:coreProperties>
</file>