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C9" w:rsidRPr="006C4522" w:rsidRDefault="00361918" w:rsidP="00BA71EB">
      <w:pPr>
        <w:pStyle w:val="Article"/>
      </w:pPr>
      <w:r>
        <w:t>OMHA-18-930</w:t>
      </w:r>
    </w:p>
    <w:p w:rsidR="006C4522" w:rsidRPr="00361918" w:rsidRDefault="00361918" w:rsidP="00361918">
      <w:pPr>
        <w:pStyle w:val="Title"/>
      </w:pPr>
      <w:r w:rsidRPr="006C4522">
        <w:t xml:space="preserve">Occupational </w:t>
      </w:r>
      <w:r>
        <w:t>E</w:t>
      </w:r>
      <w:r w:rsidRPr="006C4522">
        <w:t xml:space="preserve">xposure to </w:t>
      </w:r>
      <w:r>
        <w:t>B</w:t>
      </w:r>
      <w:r w:rsidRPr="006C4522">
        <w:t xml:space="preserve">lood and </w:t>
      </w:r>
      <w:r>
        <w:t>B</w:t>
      </w:r>
      <w:r w:rsidRPr="006C4522">
        <w:t xml:space="preserve">ody </w:t>
      </w:r>
      <w:r>
        <w:t>F</w:t>
      </w:r>
      <w:r w:rsidRPr="006C4522">
        <w:t xml:space="preserve">luids among </w:t>
      </w:r>
      <w:r>
        <w:t>H</w:t>
      </w:r>
      <w:r w:rsidRPr="006C4522">
        <w:t xml:space="preserve">ealth </w:t>
      </w:r>
      <w:r>
        <w:t>C</w:t>
      </w:r>
      <w:r w:rsidRPr="006C4522">
        <w:t xml:space="preserve">are </w:t>
      </w:r>
      <w:r>
        <w:t>W</w:t>
      </w:r>
      <w:r w:rsidRPr="006C4522">
        <w:t xml:space="preserve">orkers in </w:t>
      </w:r>
      <w:r>
        <w:t>A</w:t>
      </w:r>
      <w:r w:rsidRPr="006C4522">
        <w:t xml:space="preserve">rada </w:t>
      </w:r>
      <w:r>
        <w:t>S</w:t>
      </w:r>
      <w:r w:rsidRPr="006C4522">
        <w:t>ub-</w:t>
      </w:r>
      <w:r>
        <w:t>C</w:t>
      </w:r>
      <w:r w:rsidRPr="006C4522">
        <w:t xml:space="preserve">ity </w:t>
      </w:r>
      <w:r>
        <w:t>H</w:t>
      </w:r>
      <w:r w:rsidRPr="006C4522">
        <w:t xml:space="preserve">ealth </w:t>
      </w:r>
      <w:r>
        <w:t>C</w:t>
      </w:r>
      <w:r w:rsidRPr="006C4522">
        <w:t xml:space="preserve">enters of </w:t>
      </w:r>
      <w:r>
        <w:t>A</w:t>
      </w:r>
      <w:r w:rsidRPr="006C4522">
        <w:t xml:space="preserve">ddis </w:t>
      </w:r>
      <w:r>
        <w:t>A</w:t>
      </w:r>
      <w:r w:rsidRPr="006C4522">
        <w:t xml:space="preserve">baba, </w:t>
      </w:r>
      <w:r>
        <w:t>E</w:t>
      </w:r>
      <w:r w:rsidRPr="006C4522">
        <w:t>thiopia</w:t>
      </w:r>
    </w:p>
    <w:p w:rsidR="006C4522" w:rsidRPr="00361918" w:rsidRDefault="006C4522" w:rsidP="00361918">
      <w:pPr>
        <w:pStyle w:val="EndnoteText"/>
        <w:rPr>
          <w:rStyle w:val="Strong"/>
        </w:rPr>
      </w:pPr>
      <w:proofErr w:type="spellStart"/>
      <w:r w:rsidRPr="00361918">
        <w:rPr>
          <w:rStyle w:val="Strong"/>
        </w:rPr>
        <w:t>Amerga</w:t>
      </w:r>
      <w:proofErr w:type="spellEnd"/>
      <w:r w:rsidRPr="00361918">
        <w:rPr>
          <w:rStyle w:val="Strong"/>
        </w:rPr>
        <w:t xml:space="preserve"> EW</w:t>
      </w:r>
      <w:r w:rsidR="00361918" w:rsidRPr="00361918">
        <w:rPr>
          <w:rStyle w:val="EndnoteReference"/>
        </w:rPr>
        <w:t>*</w:t>
      </w:r>
      <w:r w:rsidRPr="00361918">
        <w:rPr>
          <w:rStyle w:val="Strong"/>
        </w:rPr>
        <w:t xml:space="preserve"> and </w:t>
      </w:r>
      <w:proofErr w:type="spellStart"/>
      <w:r w:rsidRPr="00361918">
        <w:rPr>
          <w:rStyle w:val="Strong"/>
        </w:rPr>
        <w:t>Mekonnen</w:t>
      </w:r>
      <w:proofErr w:type="spellEnd"/>
      <w:r w:rsidRPr="00361918">
        <w:rPr>
          <w:rStyle w:val="Strong"/>
        </w:rPr>
        <w:t xml:space="preserve"> TG</w:t>
      </w:r>
    </w:p>
    <w:p w:rsidR="006C4522" w:rsidRPr="00361918" w:rsidRDefault="006C4522" w:rsidP="00361918">
      <w:pPr>
        <w:pStyle w:val="EndnoteText"/>
      </w:pPr>
      <w:r w:rsidRPr="00361918">
        <w:t xml:space="preserve">Department of </w:t>
      </w:r>
      <w:r w:rsidR="00361918" w:rsidRPr="00361918">
        <w:t>Knowledge Translation</w:t>
      </w:r>
      <w:r w:rsidRPr="00361918">
        <w:t xml:space="preserve">, </w:t>
      </w:r>
      <w:r w:rsidR="00361918" w:rsidRPr="00361918">
        <w:t>Ethiopian Public Health Institute Addis Ababa</w:t>
      </w:r>
      <w:r w:rsidRPr="00361918">
        <w:t xml:space="preserve">, </w:t>
      </w:r>
      <w:r w:rsidR="00361918" w:rsidRPr="00361918">
        <w:t>Ethiopia</w:t>
      </w:r>
    </w:p>
    <w:p w:rsidR="006C4522" w:rsidRPr="00361918" w:rsidRDefault="006C4522" w:rsidP="00361918">
      <w:pPr>
        <w:pStyle w:val="EndnoteText"/>
      </w:pPr>
      <w:r w:rsidRPr="00361918">
        <w:rPr>
          <w:rStyle w:val="FootnoteReference"/>
        </w:rPr>
        <w:t>*</w:t>
      </w:r>
      <w:r w:rsidRPr="00361918">
        <w:rPr>
          <w:rStyle w:val="Strong"/>
        </w:rPr>
        <w:t>Corresponding author</w:t>
      </w:r>
      <w:r w:rsidRPr="00361918">
        <w:t xml:space="preserve">: </w:t>
      </w:r>
      <w:proofErr w:type="spellStart"/>
      <w:r w:rsidR="00361918" w:rsidRPr="00361918">
        <w:rPr>
          <w:rStyle w:val="Strong"/>
          <w:b w:val="0"/>
          <w:bCs w:val="0"/>
        </w:rPr>
        <w:t>Amerga</w:t>
      </w:r>
      <w:proofErr w:type="spellEnd"/>
      <w:r w:rsidR="00361918" w:rsidRPr="00361918">
        <w:rPr>
          <w:rStyle w:val="Strong"/>
          <w:b w:val="0"/>
          <w:bCs w:val="0"/>
        </w:rPr>
        <w:t xml:space="preserve"> EW</w:t>
      </w:r>
      <w:r w:rsidRPr="00361918">
        <w:t xml:space="preserve">, </w:t>
      </w:r>
      <w:r w:rsidR="00361918" w:rsidRPr="00361918">
        <w:t>Department of Knowledge Translation, Ethiopian Public Health Institute Addis Ababa, Ethiopia</w:t>
      </w:r>
      <w:r w:rsidRPr="00361918">
        <w:t xml:space="preserve">, Tel: </w:t>
      </w:r>
      <w:r w:rsidR="00361918" w:rsidRPr="00361918">
        <w:t>+251944250470</w:t>
      </w:r>
      <w:r w:rsidRPr="00361918">
        <w:t xml:space="preserve">; E-mail: </w:t>
      </w:r>
      <w:r w:rsidR="00361918" w:rsidRPr="0056158A">
        <w:rPr>
          <w:rStyle w:val="E-mailSignatureChar"/>
        </w:rPr>
        <w:t>ermmias@gmail.com</w:t>
      </w:r>
    </w:p>
    <w:p w:rsidR="006C4522" w:rsidRPr="00361918" w:rsidRDefault="006C4522" w:rsidP="00361918">
      <w:pPr>
        <w:pStyle w:val="EndnoteText"/>
      </w:pPr>
      <w:r w:rsidRPr="00361918">
        <w:rPr>
          <w:rStyle w:val="Strong"/>
        </w:rPr>
        <w:t>Received Date:</w:t>
      </w:r>
      <w:r w:rsidRPr="00361918">
        <w:t xml:space="preserve"> </w:t>
      </w:r>
      <w:r w:rsidR="00361918" w:rsidRPr="00361918">
        <w:t>October 5</w:t>
      </w:r>
      <w:r w:rsidRPr="00361918">
        <w:t xml:space="preserve">, 2018; </w:t>
      </w:r>
      <w:r w:rsidRPr="00361918">
        <w:rPr>
          <w:rStyle w:val="Strong"/>
        </w:rPr>
        <w:t>Accepted Date:</w:t>
      </w:r>
      <w:r w:rsidRPr="00361918">
        <w:t xml:space="preserve"> </w:t>
      </w:r>
      <w:r w:rsidR="00361918" w:rsidRPr="00361918">
        <w:t>November 1</w:t>
      </w:r>
      <w:r w:rsidRPr="00361918">
        <w:t xml:space="preserve">, 2018; </w:t>
      </w:r>
      <w:r w:rsidRPr="00361918">
        <w:rPr>
          <w:rStyle w:val="Strong"/>
        </w:rPr>
        <w:t>Published Date:</w:t>
      </w:r>
      <w:r w:rsidRPr="00361918">
        <w:t xml:space="preserve"> </w:t>
      </w:r>
      <w:r w:rsidR="00361918" w:rsidRPr="00361918">
        <w:t xml:space="preserve">November </w:t>
      </w:r>
      <w:r w:rsidR="00361918">
        <w:t>9</w:t>
      </w:r>
      <w:r w:rsidRPr="00361918">
        <w:t>, 2018</w:t>
      </w:r>
    </w:p>
    <w:p w:rsidR="006C4522" w:rsidRPr="00BA71EB" w:rsidRDefault="006C4522" w:rsidP="00BA71EB">
      <w:pPr>
        <w:pStyle w:val="EndnoteText"/>
      </w:pPr>
      <w:r w:rsidRPr="00B502B9">
        <w:rPr>
          <w:rStyle w:val="Strong"/>
        </w:rPr>
        <w:t>Copyright:</w:t>
      </w:r>
      <w:r w:rsidRPr="00361918">
        <w:t xml:space="preserve"> ©2018 </w:t>
      </w:r>
      <w:r w:rsidR="00361918" w:rsidRPr="00361918">
        <w:rPr>
          <w:rStyle w:val="Strong"/>
          <w:b w:val="0"/>
          <w:bCs w:val="0"/>
        </w:rPr>
        <w:t>Amerga EW</w:t>
      </w:r>
      <w:r w:rsidRPr="00361918">
        <w:t>, et al. This is an open-access article distributed under the terms of the Creative Commons Attribution License, which permits unrestricted use, distribution, and reproduction in any medium, provided the original author and source are credited.</w:t>
      </w:r>
    </w:p>
    <w:p w:rsidR="00EF10C9" w:rsidRPr="00C8425F" w:rsidRDefault="00EF10C9" w:rsidP="00C8425F">
      <w:pPr>
        <w:pStyle w:val="Heading1"/>
      </w:pPr>
      <w:bookmarkStart w:id="0" w:name="_Toc420576393"/>
      <w:r w:rsidRPr="00C8425F">
        <w:t>Abstract</w:t>
      </w:r>
      <w:bookmarkEnd w:id="0"/>
    </w:p>
    <w:p w:rsidR="00EF10C9" w:rsidRPr="006C4522" w:rsidRDefault="00EF10C9" w:rsidP="006C4522">
      <w:pPr>
        <w:pStyle w:val="BodyTextFirstIndent"/>
      </w:pPr>
      <w:r w:rsidRPr="00391375">
        <w:rPr>
          <w:rStyle w:val="Strong"/>
        </w:rPr>
        <w:t>Background:</w:t>
      </w:r>
      <w:r w:rsidRPr="006C4522">
        <w:t xml:space="preserve"> Healthcare professionals (HCPs) are at high possibility of constricting blood-borne infections due to their occupation. The occurrence of these infections among HCPs is higher in low-income countries (e.g. Ethiopia). This study intended to examine the degree of occupational exposure (OE) to BBFs and its associated factors among HCPs in </w:t>
      </w:r>
      <w:proofErr w:type="spellStart"/>
      <w:r w:rsidRPr="006C4522">
        <w:t>Arada</w:t>
      </w:r>
      <w:proofErr w:type="spellEnd"/>
      <w:r w:rsidRPr="006C4522">
        <w:t xml:space="preserve"> Sub-city, Addis Ababa Ethiopia. </w:t>
      </w:r>
    </w:p>
    <w:p w:rsidR="00EF10C9" w:rsidRPr="006C4522" w:rsidRDefault="00EF10C9" w:rsidP="006C4522">
      <w:pPr>
        <w:pStyle w:val="BodyTextFirstIndent"/>
      </w:pPr>
      <w:r w:rsidRPr="006C4522">
        <w:rPr>
          <w:b/>
        </w:rPr>
        <w:t>Methods:</w:t>
      </w:r>
      <w:r w:rsidRPr="006C4522">
        <w:t xml:space="preserve"> A cross-sectional study conducted from November 3, 2017, to December 19, 2017. Three hundred and sixty-one HCPs selected for study using a simple random sampling technique. The data were collected using a structured questionnaire and analyzed using SPSS version 20. To identify factors associated with blood and body fluids bivariate and multivariate analysis used.</w:t>
      </w:r>
    </w:p>
    <w:p w:rsidR="00EF10C9" w:rsidRPr="006C4522" w:rsidRDefault="00EF10C9" w:rsidP="006C4522">
      <w:pPr>
        <w:pStyle w:val="BodyTextFirstIndent"/>
      </w:pPr>
      <w:r w:rsidRPr="006C4522">
        <w:rPr>
          <w:b/>
        </w:rPr>
        <w:t>Results:</w:t>
      </w:r>
      <w:r w:rsidRPr="006C4522">
        <w:t xml:space="preserve"> Among health, care professional one hundred and forty-nine, (41.3%) of had have exposure to BBFs in the past year. Profession (Nurse)0.76</w:t>
      </w:r>
      <w:r w:rsidR="000922CC">
        <w:t xml:space="preserve"> </w:t>
      </w:r>
      <w:r w:rsidRPr="006C4522">
        <w:t xml:space="preserve">[adjusted odds ratio (AOR)0.5, 95% confidence interval (CI) 0.26-0.98], Shortage of personal protective equipment (PPE) in the Past Year 1.99 (AOR 1.86, 95% CI1.11-3.11), Lack lifetime training on IP8.18(AOR 7.08, 95% CI 3.57-14.03) and not Using PPE 2.19 (AOR 2.25, 95% CI 1.3 -3.89) were among the factors associated with OE to BBFs. </w:t>
      </w:r>
    </w:p>
    <w:p w:rsidR="00EF10C9" w:rsidRDefault="00EF10C9" w:rsidP="006C4522">
      <w:pPr>
        <w:pStyle w:val="BodyTextFirstIndent"/>
      </w:pPr>
      <w:r w:rsidRPr="006C4522">
        <w:rPr>
          <w:b/>
        </w:rPr>
        <w:t>Conclusions:</w:t>
      </w:r>
      <w:r w:rsidRPr="006C4522">
        <w:t xml:space="preserve"> This study shows </w:t>
      </w:r>
      <w:r w:rsidR="00BA71EB" w:rsidRPr="006C4522">
        <w:t>a high pr</w:t>
      </w:r>
      <w:r w:rsidR="00BA71EB">
        <w:t>oportion of HCP exposed to BBFs,</w:t>
      </w:r>
      <w:r w:rsidR="00BA71EB" w:rsidRPr="006C4522">
        <w:t xml:space="preserve"> Exposure to BBFs </w:t>
      </w:r>
      <w:r w:rsidR="00391375">
        <w:t>is observed</w:t>
      </w:r>
      <w:r w:rsidR="00BA71EB" w:rsidRPr="006C4522">
        <w:t xml:space="preserve"> </w:t>
      </w:r>
      <w:r w:rsidR="00391375">
        <w:t>in the practices carried out without proper equipment and standard precautions thus thereby</w:t>
      </w:r>
      <w:r w:rsidRPr="006C4522">
        <w:t xml:space="preserve"> </w:t>
      </w:r>
      <w:r w:rsidR="00391375">
        <w:t>e</w:t>
      </w:r>
      <w:r w:rsidRPr="006C4522">
        <w:t xml:space="preserve">nsuring the availability of </w:t>
      </w:r>
      <w:r w:rsidR="00391375">
        <w:t>proper equipment</w:t>
      </w:r>
      <w:r w:rsidRPr="006C4522">
        <w:t xml:space="preserve">, </w:t>
      </w:r>
      <w:r w:rsidR="00391375">
        <w:t xml:space="preserve">proper </w:t>
      </w:r>
      <w:r w:rsidRPr="006C4522">
        <w:t xml:space="preserve">training </w:t>
      </w:r>
      <w:r w:rsidR="00391375">
        <w:t>regarding the</w:t>
      </w:r>
      <w:r w:rsidRPr="006C4522">
        <w:t xml:space="preserve"> standard precautions and </w:t>
      </w:r>
      <w:r w:rsidR="00391375">
        <w:t>encouraging</w:t>
      </w:r>
      <w:r w:rsidRPr="006C4522">
        <w:t xml:space="preserve"> </w:t>
      </w:r>
      <w:r w:rsidR="00391375">
        <w:t>the</w:t>
      </w:r>
      <w:r w:rsidRPr="006C4522">
        <w:t xml:space="preserve"> HCPs to implement standard precautions to avoid such exposures.</w:t>
      </w:r>
    </w:p>
    <w:p w:rsidR="00361918" w:rsidRDefault="00361918" w:rsidP="00361918">
      <w:pPr>
        <w:pStyle w:val="Heading1"/>
      </w:pPr>
      <w:r w:rsidRPr="00361918">
        <w:lastRenderedPageBreak/>
        <w:t>Keywords:</w:t>
      </w:r>
    </w:p>
    <w:p w:rsidR="00361918" w:rsidRPr="00361918" w:rsidRDefault="00361918" w:rsidP="00361918">
      <w:pPr>
        <w:pStyle w:val="BodyTextIndent"/>
      </w:pPr>
      <w:r w:rsidRPr="00361918">
        <w:t xml:space="preserve">Occupational </w:t>
      </w:r>
      <w:r>
        <w:t>h</w:t>
      </w:r>
      <w:r w:rsidRPr="00361918">
        <w:t>ealth</w:t>
      </w:r>
      <w:r>
        <w:t xml:space="preserve">; </w:t>
      </w:r>
      <w:r w:rsidRPr="00361918">
        <w:t xml:space="preserve">Health </w:t>
      </w:r>
      <w:r>
        <w:t>c</w:t>
      </w:r>
      <w:r w:rsidRPr="00361918">
        <w:t xml:space="preserve">are </w:t>
      </w:r>
      <w:r>
        <w:t>p</w:t>
      </w:r>
      <w:r w:rsidRPr="00361918">
        <w:t>rofessionals</w:t>
      </w:r>
      <w:r>
        <w:t xml:space="preserve">; </w:t>
      </w:r>
      <w:r w:rsidRPr="00361918">
        <w:t xml:space="preserve">Occupational </w:t>
      </w:r>
      <w:r>
        <w:t>e</w:t>
      </w:r>
      <w:r w:rsidRPr="00361918">
        <w:t>xposure</w:t>
      </w:r>
      <w:r>
        <w:t>;</w:t>
      </w:r>
      <w:r w:rsidRPr="00361918">
        <w:t xml:space="preserve"> Blood and body </w:t>
      </w:r>
      <w:r>
        <w:t>f</w:t>
      </w:r>
      <w:r w:rsidRPr="00361918">
        <w:t>luids</w:t>
      </w:r>
      <w:r>
        <w:t>; Infection prevention</w:t>
      </w:r>
    </w:p>
    <w:p w:rsidR="00EF10C9" w:rsidRPr="00C8425F" w:rsidRDefault="00EF10C9" w:rsidP="00C8425F">
      <w:pPr>
        <w:pStyle w:val="Heading1"/>
      </w:pPr>
      <w:r w:rsidRPr="00C8425F">
        <w:t xml:space="preserve">Introduction </w:t>
      </w:r>
    </w:p>
    <w:p w:rsidR="00EF10C9" w:rsidRPr="006C4522" w:rsidRDefault="00EF10C9" w:rsidP="006C4522">
      <w:pPr>
        <w:pStyle w:val="BodyTextFirstIndent"/>
      </w:pPr>
      <w:r w:rsidRPr="006C4522">
        <w:t>An occupational exposure that may place a worker to different infections; A percutaneous injury; either needle</w:t>
      </w:r>
      <w:r w:rsidR="003E0B2D">
        <w:t>-</w:t>
      </w:r>
      <w:r w:rsidRPr="006C4522">
        <w:t>stick or cut with sharp objects; or contact of mucous membrane; or contact of non-intact skin that is, chapped, abraded, or afflicted with dermatitis; with blood, tissue or other infectious body fluids</w:t>
      </w:r>
      <w:r w:rsidR="003A4B70">
        <w:t xml:space="preserve"> </w:t>
      </w:r>
      <w:r w:rsidR="003A4B70" w:rsidRPr="003A4B70">
        <w:t>[1,2]</w:t>
      </w:r>
      <w:r w:rsidRPr="006C4522">
        <w:t xml:space="preserve">. </w:t>
      </w:r>
    </w:p>
    <w:p w:rsidR="00EF10C9" w:rsidRPr="006C4522" w:rsidRDefault="00EF10C9" w:rsidP="006C4522">
      <w:pPr>
        <w:pStyle w:val="BodyTextFirstIndent"/>
      </w:pPr>
      <w:r w:rsidRPr="006C4522">
        <w:t>Occupational health and safety are one of the most important aspects of human concern. It aims an adaptation of working environment to workers for the promotion and maintenance of the highest degree of the physical, mental and social well-being of workers in all occupations. Each year, work-related injuries and diseases kill an estimated 2 million people worldwide, which is greater than the global annual number of deaths from malaria. Annually, an estimated 160 million new cases of work-related diseases occur worldwide, including respiratory and cardiovascular diseases, cancer, hearing loss, musculoskeletal and reproductive disorders, mental and neurological illnesses</w:t>
      </w:r>
      <w:r w:rsidR="003A4B70" w:rsidRPr="003A4B70">
        <w:t xml:space="preserve"> [1</w:t>
      </w:r>
      <w:proofErr w:type="gramStart"/>
      <w:r w:rsidR="003A4B70" w:rsidRPr="003A4B70">
        <w:t>,3</w:t>
      </w:r>
      <w:proofErr w:type="gramEnd"/>
      <w:r w:rsidR="003A4B70" w:rsidRPr="003A4B70">
        <w:t>].</w:t>
      </w:r>
    </w:p>
    <w:p w:rsidR="00EF10C9" w:rsidRPr="006C4522" w:rsidRDefault="00EF10C9" w:rsidP="006C4522">
      <w:pPr>
        <w:pStyle w:val="BodyTextFirstIndent"/>
      </w:pPr>
      <w:r w:rsidRPr="006C4522">
        <w:t>Occupational exposure to blood and infectious body fluid remains a major occupational safety problem for healthcare workers (HCWs). Exposure to human BBFs poses at risk of blood-borne infections like hepatitis B, hepatitis C and human immunodeficiency virus (HIV). Body fluids are encountered during different medical interventions and are hence responsible for occupation-related HIV transmission</w:t>
      </w:r>
      <w:r w:rsidR="00935D27">
        <w:t xml:space="preserve"> </w:t>
      </w:r>
      <w:r w:rsidR="00935D27" w:rsidRPr="00935D27">
        <w:t>[4</w:t>
      </w:r>
      <w:proofErr w:type="gramStart"/>
      <w:r w:rsidR="00935D27" w:rsidRPr="00935D27">
        <w:t>,5</w:t>
      </w:r>
      <w:proofErr w:type="gramEnd"/>
      <w:r w:rsidR="00935D27" w:rsidRPr="00935D27">
        <w:t>].</w:t>
      </w:r>
    </w:p>
    <w:p w:rsidR="00EF10C9" w:rsidRPr="006C4522" w:rsidRDefault="00EF10C9" w:rsidP="006C4522">
      <w:pPr>
        <w:pStyle w:val="BodyTextFirstIndent"/>
      </w:pPr>
      <w:r w:rsidRPr="006C4522">
        <w:t xml:space="preserve">Each year all most 6% of healthcare professionals </w:t>
      </w:r>
      <w:r w:rsidR="003E0B2D" w:rsidRPr="006C4522">
        <w:t>percutaneous</w:t>
      </w:r>
      <w:r w:rsidRPr="006C4522">
        <w:t xml:space="preserve"> exposed to </w:t>
      </w:r>
      <w:r w:rsidR="003E0B2D" w:rsidRPr="006C4522">
        <w:t>blood borne</w:t>
      </w:r>
      <w:r w:rsidRPr="006C4522">
        <w:t xml:space="preserve"> pathogens worldwide; out of the total exposure 2 million of those to HBV, 0.9 million to HCV and 170000 to HIV. This exposure may end up with infections in 15 000 HCV, 70 000 HBV, and 500 HIV. Most of the infections (which is 90%) through exposure occurred in developing countries</w:t>
      </w:r>
      <w:r w:rsidR="00935D27">
        <w:t xml:space="preserve"> [6</w:t>
      </w:r>
      <w:proofErr w:type="gramStart"/>
      <w:r w:rsidR="00935D27">
        <w:t>,7</w:t>
      </w:r>
      <w:proofErr w:type="gramEnd"/>
      <w:r w:rsidR="00935D27">
        <w:t>].</w:t>
      </w:r>
      <w:r w:rsidRPr="006C4522">
        <w:t xml:space="preserve"> </w:t>
      </w:r>
    </w:p>
    <w:p w:rsidR="00EF10C9" w:rsidRPr="006C4522" w:rsidRDefault="00EF10C9" w:rsidP="006C4522">
      <w:pPr>
        <w:pStyle w:val="BodyTextFirstIndent"/>
      </w:pPr>
      <w:r w:rsidRPr="006C4522">
        <w:t xml:space="preserve">These infections are preventable, as shown by the low rates achieved in certain countries that have engaged in serious prevention efforts, including training of HCW, HBV immunization, post-exposure prophylaxis, and improved waste management </w:t>
      </w:r>
      <w:r w:rsidR="00935D27" w:rsidRPr="00935D27">
        <w:t>[6].</w:t>
      </w:r>
    </w:p>
    <w:p w:rsidR="00EF10C9" w:rsidRPr="006C4522" w:rsidRDefault="00EF10C9" w:rsidP="006C4522">
      <w:pPr>
        <w:pStyle w:val="BodyTextFirstIndent"/>
      </w:pPr>
      <w:r w:rsidRPr="006C4522">
        <w:t>In Ethiopia, 30.5% of HCWs have a lifetime risk of needle stick injury and 25.7% sharp injury all over their career life but the lifetime risk of BBFs exposure was less than that of needle stick injury it accounts 28.8%. In the year 2010, the prevalence of needle sticks injury in Ethiopia was 17.5% and sharp injury were 13.5%, but exposure to BBF was greater than both needle stick and sharp injury accounts 20.2%</w:t>
      </w:r>
      <w:r w:rsidR="00935D27">
        <w:t xml:space="preserve"> </w:t>
      </w:r>
      <w:r w:rsidR="00935D27" w:rsidRPr="00935D27">
        <w:t>[8].</w:t>
      </w:r>
    </w:p>
    <w:p w:rsidR="00EF10C9" w:rsidRPr="006C4522" w:rsidRDefault="00EF10C9" w:rsidP="006C4522">
      <w:pPr>
        <w:pStyle w:val="BodyTextFirstIndent"/>
      </w:pPr>
      <w:r w:rsidRPr="006C4522">
        <w:t>Factors for risky occupational practices among HCW had sub-optimal practices and unfavorable attitudes related to standard precautions such as needle recapping (46.9%), high workload 44.3%, lack of protective barriers 33.3% and lack of knowledge on standard pre-cautions 17.8%</w:t>
      </w:r>
      <w:r w:rsidR="00935D27">
        <w:t xml:space="preserve"> </w:t>
      </w:r>
      <w:r w:rsidR="00935D27" w:rsidRPr="00935D27">
        <w:t>[8,9].</w:t>
      </w:r>
    </w:p>
    <w:p w:rsidR="00EF10C9" w:rsidRPr="006C4522" w:rsidRDefault="00EF10C9" w:rsidP="006C4522">
      <w:pPr>
        <w:pStyle w:val="BodyTextFirstIndent"/>
      </w:pPr>
      <w:r w:rsidRPr="006C4522">
        <w:lastRenderedPageBreak/>
        <w:t>CDC has proposed standard precautions (SPs), which are a series of procedures for preventing OE and for handling potentially infectious materials. HCPs are advised to follow SPs regularly, such as: observing regular personal hygiene; using protective barriers, e.g. gloves and gowns, whenever there is contact with the mucous membranes or BBFs of patients; and disposing of sharps and other clinical waste correctly</w:t>
      </w:r>
      <w:r w:rsidR="00A329A5">
        <w:t xml:space="preserve"> </w:t>
      </w:r>
      <w:r w:rsidR="00A329A5" w:rsidRPr="00A329A5">
        <w:t>[10,11]</w:t>
      </w:r>
      <w:r w:rsidRPr="006C4522">
        <w:t xml:space="preserve">. </w:t>
      </w:r>
    </w:p>
    <w:p w:rsidR="00EF10C9" w:rsidRPr="006C4522" w:rsidRDefault="00EF10C9" w:rsidP="006C4522">
      <w:pPr>
        <w:pStyle w:val="BodyTextFirstIndent"/>
      </w:pPr>
      <w:r w:rsidRPr="006C4522">
        <w:t>Regardless of the implementation of safety measures prevention of exposure to BBFs still there is a problem of exposure to BBFs is existing</w:t>
      </w:r>
      <w:r w:rsidR="00A329A5">
        <w:t xml:space="preserve"> [1]</w:t>
      </w:r>
      <w:r w:rsidRPr="006C4522">
        <w:t xml:space="preserve">. </w:t>
      </w:r>
    </w:p>
    <w:p w:rsidR="00EF10C9" w:rsidRPr="006C4522" w:rsidRDefault="00EF10C9" w:rsidP="006C4522">
      <w:pPr>
        <w:pStyle w:val="BodyTextFirstIndent"/>
        <w:rPr>
          <w:rFonts w:eastAsia="Calibri"/>
          <w:color w:val="000000"/>
        </w:rPr>
      </w:pPr>
      <w:r w:rsidRPr="006C4522">
        <w:rPr>
          <w:rFonts w:eastAsia="Calibri"/>
          <w:color w:val="000000"/>
        </w:rPr>
        <w:t>This study will have a significant input in the formulation of appropriate strategy to modify and facilitate the overall prevention of OE to BBFs, for program planning and evaluation as well as baseline information for policymakers and regulatory bodies to improve the occupational safety in Health Facilities.</w:t>
      </w:r>
    </w:p>
    <w:p w:rsidR="00EF10C9" w:rsidRPr="006C4522" w:rsidRDefault="00EF10C9" w:rsidP="006C4522">
      <w:pPr>
        <w:pStyle w:val="BodyTextFirstIndent"/>
        <w:rPr>
          <w:rFonts w:eastAsia="Calibri"/>
          <w:color w:val="000000"/>
        </w:rPr>
      </w:pPr>
      <w:r w:rsidRPr="006C4522">
        <w:rPr>
          <w:rFonts w:eastAsia="Calibri"/>
          <w:color w:val="000000"/>
        </w:rPr>
        <w:t>There were no adequate studies conducted to assess the occupational Blood and body fluid exposure in the sub-city so, that this study will be the source of information for future researchers.</w:t>
      </w:r>
    </w:p>
    <w:p w:rsidR="00EF10C9" w:rsidRPr="006C4522" w:rsidRDefault="00EF10C9" w:rsidP="007A4023">
      <w:pPr>
        <w:pStyle w:val="Heading2"/>
        <w:rPr>
          <w:rFonts w:eastAsia="Calibri"/>
        </w:rPr>
      </w:pPr>
      <w:r w:rsidRPr="006C4522">
        <w:rPr>
          <w:rFonts w:eastAsia="Calibri"/>
        </w:rPr>
        <w:t>Limitation of the study</w:t>
      </w:r>
    </w:p>
    <w:p w:rsidR="00EF10C9" w:rsidRPr="006C4522" w:rsidRDefault="00EF10C9" w:rsidP="006C4522">
      <w:pPr>
        <w:pStyle w:val="BodyTextFirstIndent"/>
      </w:pPr>
      <w:r w:rsidRPr="006C4522">
        <w:t>The research was sensibly prepared, we are still aware of its limitations and shortcomings.</w:t>
      </w:r>
    </w:p>
    <w:p w:rsidR="00EF10C9" w:rsidRPr="006C4522" w:rsidRDefault="00EF10C9" w:rsidP="006C4522">
      <w:pPr>
        <w:pStyle w:val="BodyTextFirstIndent"/>
      </w:pPr>
      <w:r w:rsidRPr="006C4522">
        <w:t>First, the research conducted in the health center, which is the lowest level of the health care unit in the structure of the Ethiopian healthcare unit.</w:t>
      </w:r>
    </w:p>
    <w:p w:rsidR="00EF10C9" w:rsidRPr="006C4522" w:rsidRDefault="00EF10C9" w:rsidP="006C4522">
      <w:pPr>
        <w:pStyle w:val="BodyTextFirstIndent"/>
      </w:pPr>
      <w:r w:rsidRPr="006C4522">
        <w:t>Second, self-Social desirability bias is also a potential limitation in self-reported studies like this one, and also there was no clear registration for occupational exposure to blood and body fluids, to minimize the problems items are included from other researchers for comparison. Additionally, during interpretation design, related limitation considered.</w:t>
      </w:r>
    </w:p>
    <w:p w:rsidR="00EF10C9" w:rsidRPr="00C8425F" w:rsidRDefault="006C4522" w:rsidP="00C8425F">
      <w:pPr>
        <w:pStyle w:val="Heading1"/>
      </w:pPr>
      <w:bookmarkStart w:id="1" w:name="_Toc420576407"/>
      <w:r w:rsidRPr="00C8425F">
        <w:t>Methods</w:t>
      </w:r>
      <w:bookmarkEnd w:id="1"/>
    </w:p>
    <w:p w:rsidR="00A72369" w:rsidRDefault="00EF10C9" w:rsidP="006C4522">
      <w:pPr>
        <w:pStyle w:val="BodyTextFirstIndent"/>
        <w:rPr>
          <w:rFonts w:eastAsia="Times New Roman"/>
          <w:bCs/>
          <w:kern w:val="32"/>
        </w:rPr>
      </w:pPr>
      <w:r w:rsidRPr="006C4522">
        <w:t xml:space="preserve">This study was undertaken in Arada sub city, Addis Ababa. From seven health centers there are 3702 health professionals in the sub-city. The study was conducted from November 3- December 19, 2017, Across-sectional study with an internal comparison. </w:t>
      </w:r>
      <w:r w:rsidRPr="006C4522">
        <w:rPr>
          <w:rFonts w:eastAsia="Times New Roman"/>
          <w:bCs/>
          <w:kern w:val="32"/>
        </w:rPr>
        <w:t xml:space="preserve">The sample size for the study was calculated </w:t>
      </w:r>
      <w:proofErr w:type="gramStart"/>
      <w:r w:rsidRPr="006C4522">
        <w:rPr>
          <w:rFonts w:eastAsia="Times New Roman"/>
          <w:bCs/>
          <w:kern w:val="32"/>
        </w:rPr>
        <w:t>using  EPI</w:t>
      </w:r>
      <w:proofErr w:type="gramEnd"/>
      <w:r w:rsidRPr="006C4522">
        <w:rPr>
          <w:rFonts w:eastAsia="Times New Roman"/>
          <w:bCs/>
          <w:kern w:val="32"/>
        </w:rPr>
        <w:t xml:space="preserve"> info software version 7 unmatched case-control by assuming; P1 = factors associated with BBFs exposure (Profession), P2 = factors associated with BBFs (Age)</w:t>
      </w:r>
      <w:r w:rsidRPr="006C4522">
        <w:rPr>
          <w:rFonts w:eastAsia="Times New Roman"/>
          <w:bCs/>
          <w:noProof/>
          <w:kern w:val="32"/>
        </w:rPr>
        <w:t>(10)</w:t>
      </w:r>
      <w:r w:rsidRPr="006C4522">
        <w:rPr>
          <w:rFonts w:eastAsia="Times New Roman"/>
          <w:bCs/>
          <w:kern w:val="32"/>
        </w:rPr>
        <w:t xml:space="preserve">  with a Confidence interval of  95%, Power 80%. Finally, by adding a 10% non-response rate final sample size required 387</w:t>
      </w:r>
      <w:r w:rsidR="007A76EC">
        <w:rPr>
          <w:rFonts w:eastAsia="Times New Roman"/>
          <w:bCs/>
          <w:kern w:val="32"/>
        </w:rPr>
        <w:t xml:space="preserve"> (Table1 and Figure</w:t>
      </w:r>
      <w:r w:rsidR="007A76EC" w:rsidRPr="007A76EC">
        <w:rPr>
          <w:rFonts w:eastAsia="Times New Roman"/>
          <w:bCs/>
          <w:kern w:val="32"/>
        </w:rPr>
        <w:t>1)</w:t>
      </w:r>
      <w:r w:rsidRPr="006C4522">
        <w:rPr>
          <w:rFonts w:eastAsia="Times New Roman"/>
          <w:bCs/>
          <w:kern w:val="32"/>
        </w:rPr>
        <w:t>.</w:t>
      </w:r>
    </w:p>
    <w:tbl>
      <w:tblPr>
        <w:tblW w:w="5000" w:type="pct"/>
        <w:tblLook w:val="04A0" w:firstRow="1" w:lastRow="0" w:firstColumn="1" w:lastColumn="0" w:noHBand="0" w:noVBand="1"/>
      </w:tblPr>
      <w:tblGrid>
        <w:gridCol w:w="1871"/>
        <w:gridCol w:w="1158"/>
        <w:gridCol w:w="1036"/>
        <w:gridCol w:w="403"/>
        <w:gridCol w:w="498"/>
        <w:gridCol w:w="891"/>
        <w:gridCol w:w="1244"/>
        <w:gridCol w:w="1268"/>
        <w:gridCol w:w="968"/>
      </w:tblGrid>
      <w:tr w:rsidR="00186100" w:rsidRPr="00186100" w:rsidTr="00186100">
        <w:trPr>
          <w:trHeight w:val="315"/>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Factors</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%of controls exposed</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%of cases exposed</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CI</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Power</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Allocation ratio</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 xml:space="preserve">Sample size for group 1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Sample size for  group 2</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Total sample size</w:t>
            </w:r>
          </w:p>
        </w:tc>
      </w:tr>
      <w:tr w:rsidR="00186100" w:rsidRPr="00186100" w:rsidTr="00186100">
        <w:trPr>
          <w:trHeight w:val="315"/>
        </w:trPr>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Profession Midwifery</w:t>
            </w:r>
          </w:p>
        </w:tc>
        <w:tc>
          <w:tcPr>
            <w:tcW w:w="625"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1.85%</w:t>
            </w:r>
          </w:p>
        </w:tc>
        <w:tc>
          <w:tcPr>
            <w:tcW w:w="55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10.04%</w:t>
            </w:r>
          </w:p>
        </w:tc>
        <w:tc>
          <w:tcPr>
            <w:tcW w:w="19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95%</w:t>
            </w:r>
          </w:p>
        </w:tc>
        <w:tc>
          <w:tcPr>
            <w:tcW w:w="24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80%</w:t>
            </w:r>
          </w:p>
        </w:tc>
        <w:tc>
          <w:tcPr>
            <w:tcW w:w="457"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01:02</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77</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154</w:t>
            </w:r>
          </w:p>
        </w:tc>
        <w:tc>
          <w:tcPr>
            <w:tcW w:w="503"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231</w:t>
            </w:r>
          </w:p>
        </w:tc>
      </w:tr>
      <w:tr w:rsidR="00186100" w:rsidRPr="00186100" w:rsidTr="00186100">
        <w:trPr>
          <w:trHeight w:val="315"/>
        </w:trPr>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lastRenderedPageBreak/>
              <w:t>Age(&lt; or =24)</w:t>
            </w:r>
          </w:p>
        </w:tc>
        <w:tc>
          <w:tcPr>
            <w:tcW w:w="625"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12.96%</w:t>
            </w:r>
          </w:p>
        </w:tc>
        <w:tc>
          <w:tcPr>
            <w:tcW w:w="55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24.40%</w:t>
            </w:r>
          </w:p>
        </w:tc>
        <w:tc>
          <w:tcPr>
            <w:tcW w:w="19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95%</w:t>
            </w:r>
          </w:p>
        </w:tc>
        <w:tc>
          <w:tcPr>
            <w:tcW w:w="24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80%</w:t>
            </w:r>
          </w:p>
        </w:tc>
        <w:tc>
          <w:tcPr>
            <w:tcW w:w="457"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01:02</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117</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234</w:t>
            </w:r>
          </w:p>
        </w:tc>
        <w:tc>
          <w:tcPr>
            <w:tcW w:w="503"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351</w:t>
            </w:r>
          </w:p>
        </w:tc>
      </w:tr>
      <w:tr w:rsidR="00186100" w:rsidRPr="00186100" w:rsidTr="00186100">
        <w:trPr>
          <w:trHeight w:val="315"/>
        </w:trPr>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Compliance with standard precaution</w:t>
            </w:r>
          </w:p>
        </w:tc>
        <w:tc>
          <w:tcPr>
            <w:tcW w:w="625"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60%</w:t>
            </w:r>
          </w:p>
        </w:tc>
        <w:tc>
          <w:tcPr>
            <w:tcW w:w="55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73%</w:t>
            </w:r>
          </w:p>
        </w:tc>
        <w:tc>
          <w:tcPr>
            <w:tcW w:w="19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95%</w:t>
            </w:r>
          </w:p>
        </w:tc>
        <w:tc>
          <w:tcPr>
            <w:tcW w:w="240"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80%</w:t>
            </w:r>
          </w:p>
        </w:tc>
        <w:tc>
          <w:tcPr>
            <w:tcW w:w="457"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01:02</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99</w:t>
            </w:r>
          </w:p>
        </w:tc>
        <w:tc>
          <w:tcPr>
            <w:tcW w:w="688"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198</w:t>
            </w:r>
          </w:p>
        </w:tc>
        <w:tc>
          <w:tcPr>
            <w:tcW w:w="503"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pPr>
            <w:r w:rsidRPr="00186100">
              <w:t>297</w:t>
            </w:r>
          </w:p>
        </w:tc>
      </w:tr>
    </w:tbl>
    <w:p w:rsidR="007A76EC" w:rsidRPr="00186100" w:rsidRDefault="007A76EC" w:rsidP="00186100">
      <w:pPr>
        <w:pStyle w:val="TableStyle"/>
      </w:pPr>
    </w:p>
    <w:p w:rsidR="00BE2BD3" w:rsidRDefault="00102B5F" w:rsidP="00102B5F">
      <w:pPr>
        <w:pStyle w:val="TableCaption"/>
      </w:pPr>
      <w:r w:rsidRPr="00102B5F">
        <w:t xml:space="preserve">Table 1: Showing Sample size for to assess occupational exposure to blood and body fluid exposure </w:t>
      </w:r>
      <w:proofErr w:type="spellStart"/>
      <w:r w:rsidRPr="00102B5F">
        <w:t>Arada</w:t>
      </w:r>
      <w:proofErr w:type="spellEnd"/>
      <w:r w:rsidRPr="00102B5F">
        <w:t xml:space="preserve"> sub city health center, Addis Ababa, Ethiopia, 2017.</w:t>
      </w:r>
    </w:p>
    <w:p w:rsidR="00102B5F" w:rsidRPr="00102B5F" w:rsidRDefault="00102B5F" w:rsidP="00102B5F"/>
    <w:p w:rsidR="007A76EC" w:rsidRDefault="007A76EC" w:rsidP="00EC0941">
      <w:pPr>
        <w:pStyle w:val="ImageStyle"/>
      </w:pPr>
      <w:r w:rsidRPr="00EC0941">
        <w:drawing>
          <wp:inline distT="0" distB="0" distL="0" distR="0" wp14:anchorId="6C43D76B" wp14:editId="01AC0AAD">
            <wp:extent cx="5504486" cy="41946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ti-m\Desktop\18-930.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04486" cy="4194660"/>
                    </a:xfrm>
                    <a:prstGeom prst="rect">
                      <a:avLst/>
                    </a:prstGeom>
                    <a:noFill/>
                    <a:ln>
                      <a:noFill/>
                    </a:ln>
                  </pic:spPr>
                </pic:pic>
              </a:graphicData>
            </a:graphic>
          </wp:inline>
        </w:drawing>
      </w:r>
    </w:p>
    <w:p w:rsidR="007A76EC" w:rsidRPr="00EC0941" w:rsidRDefault="007A76EC" w:rsidP="00EC0941">
      <w:pPr>
        <w:pStyle w:val="ImageStyle"/>
      </w:pPr>
      <w:bookmarkStart w:id="2" w:name="_Ref419273527"/>
      <w:bookmarkStart w:id="3" w:name="_Toc420576457"/>
    </w:p>
    <w:p w:rsidR="007A76EC" w:rsidRPr="007A76EC" w:rsidRDefault="007A76EC" w:rsidP="007A76EC">
      <w:pPr>
        <w:pStyle w:val="ImageCaption"/>
      </w:pPr>
      <w:r w:rsidRPr="007A76EC">
        <w:rPr>
          <w:rStyle w:val="Strong"/>
        </w:rPr>
        <w:t xml:space="preserve">Figure </w:t>
      </w:r>
      <w:bookmarkEnd w:id="2"/>
      <w:r w:rsidRPr="007A76EC">
        <w:rPr>
          <w:rStyle w:val="Strong"/>
        </w:rPr>
        <w:t>1:</w:t>
      </w:r>
      <w:r w:rsidRPr="007A76EC">
        <w:t xml:space="preserve"> Sampling chart to show sample proportional to size.</w:t>
      </w:r>
      <w:bookmarkEnd w:id="3"/>
    </w:p>
    <w:p w:rsidR="00EF10C9" w:rsidRPr="006C4522" w:rsidRDefault="00EF10C9" w:rsidP="006C4522">
      <w:pPr>
        <w:pStyle w:val="BodyTextFirstIndent"/>
      </w:pPr>
      <w:r w:rsidRPr="006C4522">
        <w:t>The data from participants collected using a structured interviewer-administered questionnaire.</w:t>
      </w:r>
    </w:p>
    <w:p w:rsidR="00EF10C9" w:rsidRPr="006C4522" w:rsidRDefault="00EF10C9" w:rsidP="006C4522">
      <w:pPr>
        <w:pStyle w:val="BodyTextFirstIndent"/>
      </w:pPr>
      <w:r w:rsidRPr="006C4522">
        <w:t xml:space="preserve">Data entry performed by using </w:t>
      </w:r>
      <w:proofErr w:type="spellStart"/>
      <w:r w:rsidRPr="006C4522">
        <w:t>Epi</w:t>
      </w:r>
      <w:proofErr w:type="spellEnd"/>
      <w:r w:rsidRPr="006C4522">
        <w:t xml:space="preserve"> Info version 7 and analysis performed using SPSS version 20.0 software (SPSS Inc., Chicago, IL, USA). After conducting a descriptive analysis for some variables, multivariate analysis made to observe the relative effect of independent variable on the dependent variable by controlling the effect of other variables. Only variables that reached a p-value less than 0.05 at the bivariate analysis level kept in the succeeding model.</w:t>
      </w:r>
    </w:p>
    <w:p w:rsidR="00EF10C9" w:rsidRPr="006C4522" w:rsidRDefault="00EF10C9" w:rsidP="006C4522">
      <w:pPr>
        <w:pStyle w:val="BodyTextFirstIndent"/>
      </w:pPr>
      <w:r w:rsidRPr="006C4522">
        <w:lastRenderedPageBreak/>
        <w:t xml:space="preserve">Ethical clearance </w:t>
      </w:r>
      <w:r w:rsidR="003E0B2D">
        <w:t xml:space="preserve">was </w:t>
      </w:r>
      <w:r w:rsidRPr="006C4522">
        <w:t xml:space="preserve">first obtained from ethical clearance committee of </w:t>
      </w:r>
      <w:proofErr w:type="spellStart"/>
      <w:r w:rsidRPr="006C4522">
        <w:t>Haramaya</w:t>
      </w:r>
      <w:proofErr w:type="spellEnd"/>
      <w:r w:rsidRPr="006C4522">
        <w:t xml:space="preserve"> University and Addis Ababa health bureau. </w:t>
      </w:r>
      <w:r w:rsidR="003E0B2D">
        <w:t>Therea</w:t>
      </w:r>
      <w:r w:rsidRPr="006C4522">
        <w:t>fter ethical approval</w:t>
      </w:r>
      <w:r w:rsidR="003E0B2D">
        <w:t xml:space="preserve"> and</w:t>
      </w:r>
      <w:r w:rsidRPr="006C4522">
        <w:t xml:space="preserve"> written consent </w:t>
      </w:r>
      <w:r w:rsidR="003E0B2D">
        <w:t xml:space="preserve">was </w:t>
      </w:r>
      <w:r w:rsidRPr="006C4522">
        <w:t xml:space="preserve">submitted to the respective sub city and verbal </w:t>
      </w:r>
      <w:r w:rsidR="003E0B2D" w:rsidRPr="006C4522">
        <w:t xml:space="preserve">consent </w:t>
      </w:r>
      <w:r w:rsidR="003E0B2D">
        <w:t xml:space="preserve">was </w:t>
      </w:r>
      <w:r w:rsidRPr="006C4522">
        <w:t xml:space="preserve">requested </w:t>
      </w:r>
      <w:r w:rsidR="003E0B2D">
        <w:t>from</w:t>
      </w:r>
      <w:r w:rsidRPr="006C4522">
        <w:t xml:space="preserve"> all the participants during data collection. To ensure confidentiality names and other ident</w:t>
      </w:r>
      <w:r w:rsidR="003E0B2D">
        <w:t>ity related</w:t>
      </w:r>
      <w:r w:rsidRPr="006C4522">
        <w:t xml:space="preserve"> information </w:t>
      </w:r>
      <w:r w:rsidR="003E0B2D">
        <w:t xml:space="preserve">is </w:t>
      </w:r>
      <w:r w:rsidRPr="006C4522">
        <w:t>not included</w:t>
      </w:r>
      <w:bookmarkStart w:id="4" w:name="_top"/>
      <w:bookmarkEnd w:id="4"/>
      <w:r w:rsidRPr="006C4522">
        <w:t>.</w:t>
      </w:r>
    </w:p>
    <w:p w:rsidR="00EF10C9" w:rsidRPr="00C8425F" w:rsidRDefault="006C4522" w:rsidP="00C8425F">
      <w:pPr>
        <w:pStyle w:val="Heading1"/>
      </w:pPr>
      <w:bookmarkStart w:id="5" w:name="_Toc420576421"/>
      <w:r w:rsidRPr="00C8425F">
        <w:t>Result</w:t>
      </w:r>
      <w:r w:rsidR="00EF10C9" w:rsidRPr="00C8425F">
        <w:t xml:space="preserve"> </w:t>
      </w:r>
      <w:bookmarkEnd w:id="5"/>
    </w:p>
    <w:p w:rsidR="00EF10C9" w:rsidRPr="006C4522" w:rsidRDefault="00EF10C9" w:rsidP="006C4522">
      <w:pPr>
        <w:pStyle w:val="BodyTextFirstIndent"/>
      </w:pPr>
      <w:r w:rsidRPr="006C4522">
        <w:t xml:space="preserve">Three hundred seventy-one participants are participated, which gives 96% response rate. Ten incomplete questionnaires discarded, and the analysis based on the remaining 361 respondents. </w:t>
      </w:r>
    </w:p>
    <w:p w:rsidR="00EF10C9" w:rsidRDefault="00EF10C9" w:rsidP="006C4522">
      <w:pPr>
        <w:pStyle w:val="BodyTextFirstIndent"/>
      </w:pPr>
      <w:r w:rsidRPr="006C4522">
        <w:t>Overall 143 of the HCPs (39.6%) were men. The mean age of the respondents was 27</w:t>
      </w:r>
      <w:r w:rsidR="003274BC">
        <w:t xml:space="preserve"> </w:t>
      </w:r>
      <w:r w:rsidRPr="006C4522">
        <w:t>±</w:t>
      </w:r>
      <w:r w:rsidR="003274BC">
        <w:t xml:space="preserve"> </w:t>
      </w:r>
      <w:r w:rsidRPr="006C4522">
        <w:t xml:space="preserve">5.46 years. Most of the study participants, 49.3% were nurses, 22.7% were working in outpatient departments, and the mean overall working experience of the respondents had had 3.9 years. </w:t>
      </w:r>
      <w:proofErr w:type="gramStart"/>
      <w:r w:rsidRPr="006C4522">
        <w:t>(Table 2)</w:t>
      </w:r>
      <w:r w:rsidR="006C4522">
        <w:t>.</w:t>
      </w:r>
      <w:proofErr w:type="gramEnd"/>
    </w:p>
    <w:tbl>
      <w:tblPr>
        <w:tblW w:w="5000" w:type="pct"/>
        <w:tblLook w:val="04A0" w:firstRow="1" w:lastRow="0" w:firstColumn="1" w:lastColumn="0" w:noHBand="0" w:noVBand="1"/>
      </w:tblPr>
      <w:tblGrid>
        <w:gridCol w:w="4838"/>
        <w:gridCol w:w="4499"/>
      </w:tblGrid>
      <w:tr w:rsidR="00186100" w:rsidRPr="00186100" w:rsidTr="00186100">
        <w:trPr>
          <w:trHeight w:val="315"/>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Variable</w:t>
            </w:r>
          </w:p>
        </w:tc>
        <w:tc>
          <w:tcPr>
            <w:tcW w:w="2409" w:type="pct"/>
            <w:tcBorders>
              <w:top w:val="single" w:sz="4" w:space="0" w:color="auto"/>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No (%) of subjects (n = 361)</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Sex</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Male</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143(39.6)</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Female</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218(60.4)</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Age group</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&lt;24</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118(32.7)</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25-29</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163(45.2)</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&gt;30</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80(22.2)</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xml:space="preserve">Professional category </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Health Officer</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66(18.3)</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Nurse</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173(47.9)</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Midwife</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57(15.8)</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Lab Technician/Technologist</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33(9.1)</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Pharmacists</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26(7.2)</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Medical Doctor</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6(1.7)</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Current  working department</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Regular OPD</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82(22.7)</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Emergency OPD</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49(13.6)</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Delivery Room</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65(18)</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Laboratory</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33(9.1)</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ART clinic</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26(7.2)</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Injection Room</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37(10.2)</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TB Room</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23(6.4)</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Other</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46(12.7)</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xml:space="preserve">Work experience </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 </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lastRenderedPageBreak/>
              <w:t>&lt; or=2 years</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186(51.5)</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3-5 years</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99(27.4)</w:t>
            </w:r>
          </w:p>
        </w:tc>
      </w:tr>
      <w:tr w:rsidR="00186100" w:rsidRPr="00186100" w:rsidTr="00186100">
        <w:trPr>
          <w:trHeight w:val="315"/>
        </w:trPr>
        <w:tc>
          <w:tcPr>
            <w:tcW w:w="2591" w:type="pct"/>
            <w:tcBorders>
              <w:top w:val="nil"/>
              <w:left w:val="single" w:sz="4" w:space="0" w:color="auto"/>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&gt;or=6 Years</w:t>
            </w:r>
          </w:p>
        </w:tc>
        <w:tc>
          <w:tcPr>
            <w:tcW w:w="2409" w:type="pct"/>
            <w:tcBorders>
              <w:top w:val="nil"/>
              <w:left w:val="nil"/>
              <w:bottom w:val="single" w:sz="4" w:space="0" w:color="auto"/>
              <w:right w:val="single" w:sz="4" w:space="0" w:color="auto"/>
            </w:tcBorders>
            <w:shd w:val="clear" w:color="auto" w:fill="auto"/>
            <w:noWrap/>
            <w:vAlign w:val="bottom"/>
            <w:hideMark/>
          </w:tcPr>
          <w:p w:rsidR="00186100" w:rsidRPr="00186100" w:rsidRDefault="00186100" w:rsidP="00186100">
            <w:pPr>
              <w:pStyle w:val="TableStyle"/>
              <w:rPr>
                <w:lang w:val="en-IN" w:eastAsia="en-IN"/>
              </w:rPr>
            </w:pPr>
            <w:r w:rsidRPr="00186100">
              <w:rPr>
                <w:lang w:val="en-IN" w:eastAsia="en-IN"/>
              </w:rPr>
              <w:t>76(21.1)</w:t>
            </w:r>
          </w:p>
        </w:tc>
      </w:tr>
    </w:tbl>
    <w:p w:rsidR="009C1B3D" w:rsidRDefault="009C1B3D" w:rsidP="00186100">
      <w:pPr>
        <w:pStyle w:val="TableStyle"/>
      </w:pPr>
    </w:p>
    <w:p w:rsidR="0038115C" w:rsidRPr="0038115C" w:rsidRDefault="0038115C" w:rsidP="0038115C">
      <w:pPr>
        <w:pStyle w:val="TableCaption"/>
      </w:pPr>
      <w:proofErr w:type="gramStart"/>
      <w:r w:rsidRPr="0038115C">
        <w:t xml:space="preserve">Table 2: Socio-demographic characteristics of health care professionals in </w:t>
      </w:r>
      <w:proofErr w:type="spellStart"/>
      <w:r w:rsidRPr="0038115C">
        <w:t>Arada</w:t>
      </w:r>
      <w:proofErr w:type="spellEnd"/>
      <w:r w:rsidRPr="0038115C">
        <w:t xml:space="preserve"> Sub City, Addis Ababa Ethiopia.</w:t>
      </w:r>
      <w:proofErr w:type="gramEnd"/>
    </w:p>
    <w:p w:rsidR="00EF10C9" w:rsidRPr="007A4023" w:rsidRDefault="00EF10C9" w:rsidP="007A4023">
      <w:pPr>
        <w:pStyle w:val="Heading2"/>
      </w:pPr>
      <w:bookmarkStart w:id="6" w:name="_Toc420576423"/>
      <w:r w:rsidRPr="006C4522">
        <w:t xml:space="preserve">Magnitude of </w:t>
      </w:r>
      <w:r w:rsidR="00506645" w:rsidRPr="006C4522">
        <w:t>occupational exposure</w:t>
      </w:r>
      <w:bookmarkEnd w:id="6"/>
    </w:p>
    <w:p w:rsidR="00EF10C9" w:rsidRDefault="00EF10C9" w:rsidP="006C4522">
      <w:pPr>
        <w:pStyle w:val="BodyTextFirstIndent"/>
      </w:pPr>
      <w:r w:rsidRPr="006C4522">
        <w:t>Out of 361 study participants, 47.4 % (95% CI 42.1-52.1%) had been exposed to BBFs in their career. In the last 12 months, 41.3% (95% CI 42.1-52.1%) HCPs had exposed to BBFs. In this study, needle stick injuries over their professional career and in the past 12 months were reported by 26.3%, 18.3% of HCPs, correspondingly (Table 3).</w:t>
      </w:r>
    </w:p>
    <w:tbl>
      <w:tblPr>
        <w:tblW w:w="5000" w:type="pct"/>
        <w:tblLook w:val="04A0" w:firstRow="1" w:lastRow="0" w:firstColumn="1" w:lastColumn="0" w:noHBand="0" w:noVBand="1"/>
      </w:tblPr>
      <w:tblGrid>
        <w:gridCol w:w="6418"/>
        <w:gridCol w:w="2919"/>
      </w:tblGrid>
      <w:tr w:rsidR="00B40387" w:rsidRPr="00B40387" w:rsidTr="00B40387">
        <w:trPr>
          <w:trHeight w:val="315"/>
        </w:trPr>
        <w:tc>
          <w:tcPr>
            <w:tcW w:w="3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xml:space="preserve">Variable </w:t>
            </w:r>
          </w:p>
        </w:tc>
        <w:tc>
          <w:tcPr>
            <w:tcW w:w="1563" w:type="pct"/>
            <w:tcBorders>
              <w:top w:val="single" w:sz="4" w:space="0" w:color="auto"/>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No (%) of subjects (n=361)</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Lifetime occupational exposure to blood and body fluids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Yes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171(47.4)</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No</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190(52.6)</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xml:space="preserve">Lifetime needle stick injury </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Yes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95(26.3)</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No</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266(73.7)</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Past one year Occupational exposure to blood and body fluids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Yes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145(40.2)</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No</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216(59.8)</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Past one year Needle stick injury in the past year</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 </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Yes</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66(18.3)</w:t>
            </w:r>
          </w:p>
        </w:tc>
      </w:tr>
      <w:tr w:rsidR="00B40387" w:rsidRPr="00B40387" w:rsidTr="00B40387">
        <w:trPr>
          <w:trHeight w:val="315"/>
        </w:trPr>
        <w:tc>
          <w:tcPr>
            <w:tcW w:w="3437"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No</w:t>
            </w:r>
          </w:p>
        </w:tc>
        <w:tc>
          <w:tcPr>
            <w:tcW w:w="1563"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pPr>
            <w:r w:rsidRPr="00B40387">
              <w:t>295(81.7)</w:t>
            </w:r>
          </w:p>
        </w:tc>
      </w:tr>
    </w:tbl>
    <w:p w:rsidR="006C5B1C" w:rsidRDefault="006C5B1C" w:rsidP="00B40387">
      <w:pPr>
        <w:pStyle w:val="TableStyle"/>
      </w:pPr>
    </w:p>
    <w:p w:rsidR="0038115C" w:rsidRPr="0038115C" w:rsidRDefault="0038115C" w:rsidP="0038115C">
      <w:pPr>
        <w:pStyle w:val="TableCaption"/>
      </w:pPr>
      <w:proofErr w:type="gramStart"/>
      <w:r w:rsidRPr="0038115C">
        <w:t xml:space="preserve">Table 3: Occupational exposure to blood and body fluids among health care professionals in </w:t>
      </w:r>
      <w:proofErr w:type="spellStart"/>
      <w:r w:rsidRPr="0038115C">
        <w:t>Arada</w:t>
      </w:r>
      <w:proofErr w:type="spellEnd"/>
      <w:r w:rsidRPr="0038115C">
        <w:t xml:space="preserve"> Sub city, Addis Ababa.</w:t>
      </w:r>
      <w:proofErr w:type="gramEnd"/>
    </w:p>
    <w:p w:rsidR="00EF10C9" w:rsidRPr="006C4522" w:rsidRDefault="00EF10C9" w:rsidP="006C4522">
      <w:pPr>
        <w:pStyle w:val="BodyTextFirstIndent"/>
      </w:pPr>
      <w:r w:rsidRPr="006C4522">
        <w:t xml:space="preserve">In the past 12 months from exposed health care professionals, the </w:t>
      </w:r>
      <w:proofErr w:type="gramStart"/>
      <w:r w:rsidRPr="006C4522">
        <w:t>majority were</w:t>
      </w:r>
      <w:proofErr w:type="gramEnd"/>
      <w:r w:rsidRPr="006C4522">
        <w:t xml:space="preserve"> nurses (40.7%) and the rest were midwives (29%), health officers (17.9%), and laboratory technologists (12.4%). </w:t>
      </w:r>
    </w:p>
    <w:p w:rsidR="00EF10C9" w:rsidRPr="007A4023" w:rsidRDefault="00EF10C9" w:rsidP="007A4023">
      <w:pPr>
        <w:pStyle w:val="Heading2"/>
      </w:pPr>
      <w:bookmarkStart w:id="7" w:name="_Toc420576424"/>
      <w:r w:rsidRPr="006C4522">
        <w:t>Factors associated with occupational exposure</w:t>
      </w:r>
      <w:bookmarkEnd w:id="7"/>
    </w:p>
    <w:p w:rsidR="00EF10C9" w:rsidRDefault="00EF10C9" w:rsidP="006C4522">
      <w:pPr>
        <w:pStyle w:val="BodyTextFirstIndent"/>
      </w:pPr>
      <w:r w:rsidRPr="006C4522">
        <w:t>Most of the study participants had used gloves during health care procedure (73.1%) and 48 (13.3%) had training on infection prevention in the last 12 months. In the last 12 months, 58.2% of study participants had reported there were adequate PPE available. Almost half of the participants (52.4%) noticed posted safety signs in their health care facility. A total of 255 (70.6%) study participants know that there was an IP committee in the healthcare facility, although 189 (52.4%) reported that the workplace was not safe for the prevention of OE to BBFs</w:t>
      </w:r>
      <w:r w:rsidR="00132BBB">
        <w:t xml:space="preserve"> </w:t>
      </w:r>
      <w:r w:rsidR="00132BBB" w:rsidRPr="006C4522">
        <w:t>(Table 4)</w:t>
      </w:r>
      <w:r w:rsidRPr="006C4522">
        <w:t xml:space="preserve">. </w:t>
      </w:r>
    </w:p>
    <w:tbl>
      <w:tblPr>
        <w:tblW w:w="5000" w:type="pct"/>
        <w:tblLook w:val="04A0" w:firstRow="1" w:lastRow="0" w:firstColumn="1" w:lastColumn="0" w:noHBand="0" w:noVBand="1"/>
      </w:tblPr>
      <w:tblGrid>
        <w:gridCol w:w="7256"/>
        <w:gridCol w:w="2081"/>
      </w:tblGrid>
      <w:tr w:rsidR="00B40387" w:rsidRPr="00B40387" w:rsidTr="00B40387">
        <w:trPr>
          <w:trHeight w:val="315"/>
        </w:trPr>
        <w:tc>
          <w:tcPr>
            <w:tcW w:w="39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xml:space="preserve">Variable </w:t>
            </w:r>
          </w:p>
        </w:tc>
        <w:tc>
          <w:tcPr>
            <w:tcW w:w="1048" w:type="pct"/>
            <w:tcBorders>
              <w:top w:val="single" w:sz="4" w:space="0" w:color="auto"/>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xml:space="preserve">No (%) of subjects </w:t>
            </w:r>
            <w:r w:rsidRPr="00B40387">
              <w:rPr>
                <w:lang w:val="en-IN" w:eastAsia="en-IN"/>
              </w:rPr>
              <w:lastRenderedPageBreak/>
              <w:t>(N=361)</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lastRenderedPageBreak/>
              <w:t>Wearing of gloves during health care procedure n=359</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264(73.1)</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95(26)</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Last one year Training on prevention of occupational infection</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48(13.3)</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313(86.7)</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Availability of PPE throughout the last  year</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136(37.7)</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225(62.3)</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Presence of safety signs in health care institution</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189(52.4)</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172(47.6)</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Presence of an infection prevention committee in health care institution</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255(70.6)</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106(29.4)</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Workplace availability of guideline  for prevention of occupational exposure to blood and body fluids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 </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Yes</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198(54.8)</w:t>
            </w:r>
          </w:p>
        </w:tc>
      </w:tr>
      <w:tr w:rsidR="00B40387" w:rsidRPr="00B40387" w:rsidTr="00B40387">
        <w:trPr>
          <w:trHeight w:val="315"/>
        </w:trPr>
        <w:tc>
          <w:tcPr>
            <w:tcW w:w="3952" w:type="pct"/>
            <w:tcBorders>
              <w:top w:val="nil"/>
              <w:left w:val="single" w:sz="4" w:space="0" w:color="auto"/>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No</w:t>
            </w:r>
          </w:p>
        </w:tc>
        <w:tc>
          <w:tcPr>
            <w:tcW w:w="1048" w:type="pct"/>
            <w:tcBorders>
              <w:top w:val="nil"/>
              <w:left w:val="nil"/>
              <w:bottom w:val="single" w:sz="4" w:space="0" w:color="auto"/>
              <w:right w:val="single" w:sz="4" w:space="0" w:color="auto"/>
            </w:tcBorders>
            <w:shd w:val="clear" w:color="auto" w:fill="auto"/>
            <w:noWrap/>
            <w:vAlign w:val="bottom"/>
            <w:hideMark/>
          </w:tcPr>
          <w:p w:rsidR="00B40387" w:rsidRPr="00B40387" w:rsidRDefault="00B40387" w:rsidP="00B40387">
            <w:pPr>
              <w:pStyle w:val="TableStyle"/>
              <w:rPr>
                <w:lang w:val="en-IN" w:eastAsia="en-IN"/>
              </w:rPr>
            </w:pPr>
            <w:r w:rsidRPr="00B40387">
              <w:rPr>
                <w:lang w:val="en-IN" w:eastAsia="en-IN"/>
              </w:rPr>
              <w:t>163(45.2)</w:t>
            </w:r>
          </w:p>
        </w:tc>
      </w:tr>
    </w:tbl>
    <w:p w:rsidR="00132BBB" w:rsidRDefault="00132BBB" w:rsidP="00B40387">
      <w:pPr>
        <w:pStyle w:val="TableStyle"/>
      </w:pPr>
    </w:p>
    <w:p w:rsidR="0038115C" w:rsidRPr="0038115C" w:rsidRDefault="0038115C" w:rsidP="0038115C">
      <w:pPr>
        <w:pStyle w:val="TableCaption"/>
      </w:pPr>
      <w:r w:rsidRPr="0038115C">
        <w:t xml:space="preserve">Table 4: Individual and institutional factors affecting prevention of occupational exposure to blood and body fluids among health care professionals in </w:t>
      </w:r>
      <w:proofErr w:type="spellStart"/>
      <w:r w:rsidRPr="0038115C">
        <w:t>Arada</w:t>
      </w:r>
      <w:proofErr w:type="spellEnd"/>
      <w:r w:rsidRPr="0038115C">
        <w:t xml:space="preserve"> Sub City, Addis Ababa Ethiopia 2017.</w:t>
      </w:r>
    </w:p>
    <w:p w:rsidR="00EF10C9" w:rsidRPr="006C4522" w:rsidRDefault="00EF10C9" w:rsidP="006C4522">
      <w:pPr>
        <w:pStyle w:val="BodyTextFirstIndent"/>
      </w:pPr>
      <w:r w:rsidRPr="006C4522">
        <w:t>The materials in which most injuries occurred by surgical blade 43%, Solid needle 33%, hollow needle 20% and scissors 4% in the past year.</w:t>
      </w:r>
    </w:p>
    <w:p w:rsidR="00EF10C9" w:rsidRPr="006C4522" w:rsidRDefault="00EF10C9" w:rsidP="006C4522">
      <w:pPr>
        <w:pStyle w:val="BodyTextFirstIndent"/>
      </w:pPr>
      <w:r w:rsidRPr="006C4522">
        <w:t>Measures taken after OE to blood and body fluid products were applying pressure, 36.13%, applying and washing with iodine 25.72%, get tested for HIV, 22.25%, seeking PEP 8.38%, Take tetanus anti-toxoid (TAT) 3.9% and squeezing on the exposed parts of the body 3.3%.</w:t>
      </w:r>
    </w:p>
    <w:p w:rsidR="00EF10C9" w:rsidRPr="006C4522" w:rsidRDefault="00EF10C9" w:rsidP="006C4522">
      <w:pPr>
        <w:pStyle w:val="BodyTextFirstIndent"/>
      </w:pPr>
      <w:r w:rsidRPr="006C4522">
        <w:t xml:space="preserve">Shortage of PPE in the last 12 months was one of the factors that contribute to the exposure of BBFs to HCPs.  Health care professional who did not have training on IP in their career more likely to expose than who had have and also use of PPE for every clinical procedure and Profession of HCWs showed statistically significant associations with OE to BBFs in the past 12 months at a p &lt;0.05. The experience of the HCPs, department of work age of the HCPs these also considered as the factors that contribute to OE to BBFs. </w:t>
      </w:r>
    </w:p>
    <w:p w:rsidR="00EF10C9" w:rsidRDefault="00EF10C9" w:rsidP="00E00EB4">
      <w:pPr>
        <w:pStyle w:val="BodyTextFirstIndent"/>
      </w:pPr>
      <w:r w:rsidRPr="006C4522">
        <w:t xml:space="preserve">In multivariate analysis profession, the department, inadequate availability of PPE in the past 12 months, use of PPE on procedure and lifetime training on IP were significantly associated with OE to BBFs in the past 12 months. Those HCPs who had no </w:t>
      </w:r>
      <w:r w:rsidRPr="006C4522">
        <w:lastRenderedPageBreak/>
        <w:t xml:space="preserve">prior training on IP were 8.18 [adjusted OR (AOR) 7.08, 95% CI 3.57-14.03] times more likely to be exposed to BBFs than those who had training on their carrier lifetime. Moreover, nurses were 50% less likely to have occupational exposure to BBFs than health officers were. </w:t>
      </w:r>
      <w:proofErr w:type="gramStart"/>
      <w:r w:rsidRPr="006C4522">
        <w:t>(Table 5).</w:t>
      </w:r>
      <w:proofErr w:type="gramEnd"/>
    </w:p>
    <w:tbl>
      <w:tblPr>
        <w:tblW w:w="5000" w:type="pct"/>
        <w:tblLook w:val="04A0" w:firstRow="1" w:lastRow="0" w:firstColumn="1" w:lastColumn="0" w:noHBand="0" w:noVBand="1"/>
      </w:tblPr>
      <w:tblGrid>
        <w:gridCol w:w="4425"/>
        <w:gridCol w:w="1368"/>
        <w:gridCol w:w="1078"/>
        <w:gridCol w:w="1233"/>
        <w:gridCol w:w="1233"/>
      </w:tblGrid>
      <w:tr w:rsidR="002A00B2" w:rsidRPr="002A00B2" w:rsidTr="002A00B2">
        <w:trPr>
          <w:trHeight w:val="300"/>
        </w:trPr>
        <w:tc>
          <w:tcPr>
            <w:tcW w:w="2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Variables</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Occupational Exposure</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Crude OR(95%CI)</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Adjusted OR(95%CI)</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Yes</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No</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Sex</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Female</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86</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132</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Male</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63</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80</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1.21(0.79-1.85)</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Age Group(Y)</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&lt;24</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54</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64</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25-29</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67</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96</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0.83(0.51-1.33)</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&gt;= 30</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28</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52</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0.64(0.36-1.45)</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Working experience(Y)</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&lt;2</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82</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104</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05-Mar</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35</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64</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0.69(0.42-1.15)</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&gt;=6</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17</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15</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0.92(0.54-1.58)</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Profession </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Health officer</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26</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40</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Nurse</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59</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119</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0.76(0.43-1.37)</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0.50(0.26-0.98)*</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Midwife</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42</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16</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4.04(1.89-8.62)***</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1.49(0.62-3.55)</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Lab professional</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18</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15</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1.85(0.79-4.29)</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0.86(0.33-2.26)</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Shortage of PPE  in the past year</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No</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72</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138</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1.99(1.30-3.06)***</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1.86(1.11-3.11)*</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Yes</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77</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74</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Ever had training on IP </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Yes</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13</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93</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No</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136</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119</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8.18(4.35-15.36)***</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7.08(3.57-14.03)***</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Use of PPE</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Yes</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88</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161</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1</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xml:space="preserve">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lastRenderedPageBreak/>
              <w:t>No</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61</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51</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2.19(1.39-3.44)***</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2.25(1.3-3.89)**</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Note: The P value &gt;0.05 were not included in multivariate analysis.</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*P&lt;0.05, **P&lt;0.01, ***P&lt;0.005</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r w:rsidR="002A00B2" w:rsidRPr="002A00B2" w:rsidTr="002A00B2">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Personal protective equipment’s: Glove, Goggles, Boots, Apron Infection prevention</w:t>
            </w:r>
          </w:p>
        </w:tc>
        <w:tc>
          <w:tcPr>
            <w:tcW w:w="72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548"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44"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c>
          <w:tcPr>
            <w:tcW w:w="612" w:type="pct"/>
            <w:tcBorders>
              <w:top w:val="nil"/>
              <w:left w:val="nil"/>
              <w:bottom w:val="single" w:sz="4" w:space="0" w:color="auto"/>
              <w:right w:val="single" w:sz="4" w:space="0" w:color="auto"/>
            </w:tcBorders>
            <w:shd w:val="clear" w:color="auto" w:fill="auto"/>
            <w:noWrap/>
            <w:vAlign w:val="bottom"/>
            <w:hideMark/>
          </w:tcPr>
          <w:p w:rsidR="002A00B2" w:rsidRPr="002A00B2" w:rsidRDefault="002A00B2" w:rsidP="002A00B2">
            <w:pPr>
              <w:pStyle w:val="TableStyle"/>
              <w:rPr>
                <w:lang w:val="en-IN" w:eastAsia="en-IN"/>
              </w:rPr>
            </w:pPr>
            <w:r w:rsidRPr="002A00B2">
              <w:rPr>
                <w:lang w:val="en-IN" w:eastAsia="en-IN"/>
              </w:rPr>
              <w:t> </w:t>
            </w:r>
          </w:p>
        </w:tc>
      </w:tr>
    </w:tbl>
    <w:p w:rsidR="00E00EB4" w:rsidRDefault="00E00EB4" w:rsidP="002A00B2">
      <w:pPr>
        <w:pStyle w:val="TableStyle"/>
      </w:pPr>
    </w:p>
    <w:p w:rsidR="0038115C" w:rsidRPr="0038115C" w:rsidRDefault="0038115C" w:rsidP="0038115C">
      <w:pPr>
        <w:pStyle w:val="TableCaption"/>
      </w:pPr>
      <w:r w:rsidRPr="0038115C">
        <w:t xml:space="preserve">Table 5: Factors associated with occupational exposure to blood and body fluids among HCPs of </w:t>
      </w:r>
      <w:proofErr w:type="spellStart"/>
      <w:r w:rsidRPr="0038115C">
        <w:t>Arada</w:t>
      </w:r>
      <w:proofErr w:type="spellEnd"/>
      <w:r w:rsidRPr="0038115C">
        <w:t xml:space="preserve"> sub city.</w:t>
      </w:r>
    </w:p>
    <w:p w:rsidR="00EF10C9" w:rsidRPr="006C4522" w:rsidRDefault="00EF10C9" w:rsidP="006C4522">
      <w:pPr>
        <w:pStyle w:val="BodyTextFirstIndent"/>
      </w:pPr>
      <w:r w:rsidRPr="006C4522">
        <w:t>The reasons for OE to BBFs were during childbirth (35%); the abrupt motion of a patient during blood draw or during the intramuscular or venous injection of drugs (31%); during the handling and collection of waste (10%) and during needle recapping (16%).</w:t>
      </w:r>
    </w:p>
    <w:p w:rsidR="00EF10C9" w:rsidRPr="00C8425F" w:rsidRDefault="006C4522" w:rsidP="00C8425F">
      <w:pPr>
        <w:pStyle w:val="Heading1"/>
      </w:pPr>
      <w:bookmarkStart w:id="8" w:name="_Toc420576425"/>
      <w:r w:rsidRPr="00C8425F">
        <w:t>Discussion</w:t>
      </w:r>
      <w:bookmarkEnd w:id="8"/>
    </w:p>
    <w:p w:rsidR="00EF10C9" w:rsidRPr="006C4522" w:rsidRDefault="00EF10C9" w:rsidP="006C4522">
      <w:pPr>
        <w:pStyle w:val="BodyTextFirstIndent"/>
      </w:pPr>
      <w:r w:rsidRPr="006C4522">
        <w:t xml:space="preserve">In this study, 47.4% (95% CI 42.1-52.1%) HCPs were exposed to BBBs in their lifetime and 41.3% (95% CI 42.1-52.1%) of healthcare professionals were exposed to BBFs within last one year. </w:t>
      </w:r>
    </w:p>
    <w:p w:rsidR="00EF10C9" w:rsidRPr="006C4522" w:rsidRDefault="00EF10C9" w:rsidP="006C4522">
      <w:pPr>
        <w:pStyle w:val="BodyTextFirstIndent"/>
      </w:pPr>
      <w:r w:rsidRPr="006C4522">
        <w:t xml:space="preserve">The main factors for the exposure to BBFs were the profession of the HCW, which had a significant impact; shortage of PPE in the last one year had places HCPs 1.8 times more risk of exposure of BBFs. Besides the shortage of PPE, not using PPE for every procedure had also an impact on the exposure of HCPs to BBFs and HCPs who had no training on IP had also a significant association between exposure of BBFs. </w:t>
      </w:r>
    </w:p>
    <w:p w:rsidR="00EF10C9" w:rsidRPr="006C4522" w:rsidRDefault="00EF10C9" w:rsidP="006C4522">
      <w:pPr>
        <w:pStyle w:val="BodyTextFirstIndent"/>
      </w:pPr>
      <w:r w:rsidRPr="006C4522">
        <w:t>Half of the study participants (47.4 % (95% CI 42.1-52.1%)) had exposed to BBFs in their professional career, which is lower than findings from China (66%), Serbia (66%), Iran (74%), Turkey (64%), India (73%), Nigeria (68.9), Mali (64.1) and Kenya (71%).  This difference was occurring because of the facility’s which are selected in this study were only from Health centers (primary health care units</w:t>
      </w:r>
      <w:proofErr w:type="gramStart"/>
      <w:r w:rsidRPr="006C4522">
        <w:t>)  but</w:t>
      </w:r>
      <w:proofErr w:type="gramEnd"/>
      <w:r w:rsidRPr="006C4522">
        <w:t xml:space="preserve"> in the case of the other studies, HCP was selected from hospitals</w:t>
      </w:r>
      <w:r w:rsidR="00A329A5">
        <w:t xml:space="preserve"> [12-16]</w:t>
      </w:r>
      <w:r w:rsidRPr="006C4522">
        <w:t xml:space="preserve">. </w:t>
      </w:r>
    </w:p>
    <w:p w:rsidR="00EF10C9" w:rsidRPr="006C4522" w:rsidRDefault="00EF10C9" w:rsidP="006C4522">
      <w:pPr>
        <w:pStyle w:val="BodyTextFirstIndent"/>
      </w:pPr>
      <w:r w:rsidRPr="006C4522">
        <w:t xml:space="preserve">In the last one year, 41.3% (95% CI 42.1-52.1%) of healthcare workers had exposed to BBFs in this study, which is lower than the findings from </w:t>
      </w:r>
      <w:proofErr w:type="spellStart"/>
      <w:r w:rsidRPr="006C4522">
        <w:t>Bahir</w:t>
      </w:r>
      <w:proofErr w:type="spellEnd"/>
      <w:r w:rsidRPr="006C4522">
        <w:t xml:space="preserve"> Dar and Tanzania study, which is 65.9% and 47.9 respectively, but it was higher than study from Uganda (33.87%) and it was much higher than study in Kenya which is 25%.  This discrepancy may occur due to the difference between the study area which is in this study the study participants were selected from only from urban health centers, but in the case of </w:t>
      </w:r>
      <w:proofErr w:type="spellStart"/>
      <w:r w:rsidRPr="006C4522">
        <w:t>Bahir</w:t>
      </w:r>
      <w:proofErr w:type="spellEnd"/>
      <w:r w:rsidRPr="006C4522">
        <w:t xml:space="preserve"> Dar study HCPs were selected from both urban and rural health centers</w:t>
      </w:r>
      <w:r w:rsidR="00A329A5">
        <w:t xml:space="preserve"> [10</w:t>
      </w:r>
      <w:proofErr w:type="gramStart"/>
      <w:r w:rsidR="00A329A5">
        <w:t>,17</w:t>
      </w:r>
      <w:proofErr w:type="gramEnd"/>
      <w:r w:rsidR="00A329A5">
        <w:t>-19]</w:t>
      </w:r>
      <w:r w:rsidRPr="006C4522">
        <w:t>.</w:t>
      </w:r>
      <w:r w:rsidR="00A329A5" w:rsidRPr="006C4522">
        <w:t xml:space="preserve"> </w:t>
      </w:r>
    </w:p>
    <w:p w:rsidR="00EF10C9" w:rsidRPr="006C4522" w:rsidRDefault="00EF10C9" w:rsidP="006C4522">
      <w:pPr>
        <w:pStyle w:val="BodyTextFirstIndent"/>
      </w:pPr>
      <w:r w:rsidRPr="006C4522">
        <w:t xml:space="preserve">Out of HCP which are exposed to BBFs, most of them are nurses (40%), which is the same as findings from the study in Taiwan but it is lower than the findings in Nigeria (50%). According to this study, there is no statistically significant difference across the HCPs, except for Nurses. However, in this study Nurses were 50% safer than health </w:t>
      </w:r>
      <w:r w:rsidRPr="006C4522">
        <w:lastRenderedPageBreak/>
        <w:t>officers were. This discrepancy may be due to the difference in their number and the type of their department</w:t>
      </w:r>
      <w:r w:rsidR="00A329A5">
        <w:t xml:space="preserve"> [20</w:t>
      </w:r>
      <w:proofErr w:type="gramStart"/>
      <w:r w:rsidR="00A329A5">
        <w:t>,21</w:t>
      </w:r>
      <w:proofErr w:type="gramEnd"/>
      <w:r w:rsidR="00A329A5">
        <w:t>]</w:t>
      </w:r>
      <w:r w:rsidRPr="006C4522">
        <w:t xml:space="preserve">. </w:t>
      </w:r>
    </w:p>
    <w:p w:rsidR="00A329A5" w:rsidRDefault="00EF10C9" w:rsidP="006C4522">
      <w:pPr>
        <w:pStyle w:val="BodyTextFirstIndent"/>
      </w:pPr>
      <w:r w:rsidRPr="006C4522">
        <w:t xml:space="preserve">Fifty-one percent of the study participants are aware of the availability of PPE throughout the last 12 months, which is equivalent to the </w:t>
      </w:r>
      <w:proofErr w:type="spellStart"/>
      <w:r w:rsidRPr="006C4522">
        <w:t>Bahir</w:t>
      </w:r>
      <w:proofErr w:type="spellEnd"/>
      <w:r w:rsidRPr="006C4522">
        <w:t xml:space="preserve"> Dar study (51%)</w:t>
      </w:r>
      <w:r w:rsidR="00A329A5">
        <w:t xml:space="preserve"> [10]</w:t>
      </w:r>
      <w:r w:rsidRPr="006C4522">
        <w:t xml:space="preserve">. </w:t>
      </w:r>
    </w:p>
    <w:p w:rsidR="00EF10C9" w:rsidRPr="006C4522" w:rsidRDefault="00EF10C9" w:rsidP="006C4522">
      <w:pPr>
        <w:pStyle w:val="BodyTextFirstIndent"/>
      </w:pPr>
      <w:r w:rsidRPr="006C4522">
        <w:t xml:space="preserve">This study also revealed that 69% HCPs have used PPE in the last health care procedure which is lower than studies from Dire </w:t>
      </w:r>
      <w:proofErr w:type="spellStart"/>
      <w:r w:rsidRPr="006C4522">
        <w:t>Dawa</w:t>
      </w:r>
      <w:proofErr w:type="spellEnd"/>
      <w:r w:rsidRPr="006C4522">
        <w:t xml:space="preserve"> (85%) and better than a study from </w:t>
      </w:r>
      <w:proofErr w:type="spellStart"/>
      <w:r w:rsidRPr="006C4522">
        <w:t>Bahir</w:t>
      </w:r>
      <w:proofErr w:type="spellEnd"/>
      <w:r w:rsidRPr="006C4522">
        <w:t xml:space="preserve"> Dar (54%) this discrepancy may occur due to shortage of PPE and attitudes of HCP towards using PPE for every procedure. HCPs who did not use PPE for all health care procedure were 2.19 (AOR 2.29, 95% CI1.33-3.95) times more likely to be occupationally exposed to BBFs than those who were using PPE during a health care procedure in the last one year</w:t>
      </w:r>
      <w:r w:rsidR="00A329A5">
        <w:t xml:space="preserve"> [8</w:t>
      </w:r>
      <w:proofErr w:type="gramStart"/>
      <w:r w:rsidR="00A329A5">
        <w:t>,10</w:t>
      </w:r>
      <w:proofErr w:type="gramEnd"/>
      <w:r w:rsidR="00A329A5">
        <w:t>]</w:t>
      </w:r>
      <w:r w:rsidRPr="006C4522">
        <w:t xml:space="preserve">. </w:t>
      </w:r>
    </w:p>
    <w:p w:rsidR="00EF10C9" w:rsidRPr="006C4522" w:rsidRDefault="00EF10C9" w:rsidP="006C4522">
      <w:pPr>
        <w:pStyle w:val="BodyTextFirstIndent"/>
      </w:pPr>
      <w:r w:rsidRPr="006C4522">
        <w:t>Only 29.4% of the respondents reported that they had had training on IP in this study, which less compared to study, finding from eastern Ethiopia (39%), Tanzania (73.1%) and Kenya (50.81%) this variation could be due to attention is given by healthcare administrator</w:t>
      </w:r>
      <w:r w:rsidR="00A329A5">
        <w:t xml:space="preserve"> [8,17,19]</w:t>
      </w:r>
      <w:r w:rsidRPr="006C4522">
        <w:t>. The lack of Regular infection prevention training may be the reason behind this variation.</w:t>
      </w:r>
    </w:p>
    <w:p w:rsidR="00EF10C9" w:rsidRPr="006C4522" w:rsidRDefault="00EF10C9" w:rsidP="006C4522">
      <w:pPr>
        <w:pStyle w:val="BodyTextFirstIndent"/>
      </w:pPr>
      <w:r w:rsidRPr="006C4522">
        <w:t xml:space="preserve">The main factors for the OE to BBFs that identified in this study were a profession, inadequate training on infection prevention, department of work and persistent use of PPE most of the factors were comparable with the studies in </w:t>
      </w:r>
      <w:proofErr w:type="spellStart"/>
      <w:r w:rsidRPr="006C4522">
        <w:t>Bahir</w:t>
      </w:r>
      <w:proofErr w:type="spellEnd"/>
      <w:r w:rsidRPr="006C4522">
        <w:t xml:space="preserve"> Dar and Dire </w:t>
      </w:r>
      <w:proofErr w:type="spellStart"/>
      <w:r w:rsidRPr="006C4522">
        <w:t>Dawa</w:t>
      </w:r>
      <w:proofErr w:type="spellEnd"/>
      <w:r w:rsidR="00A329A5">
        <w:t xml:space="preserve"> [8,10]</w:t>
      </w:r>
      <w:r w:rsidRPr="006C4522">
        <w:t xml:space="preserve">. </w:t>
      </w:r>
      <w:bookmarkStart w:id="9" w:name="_Toc420576430"/>
    </w:p>
    <w:p w:rsidR="00EF10C9" w:rsidRPr="006C4522" w:rsidRDefault="00EF10C9" w:rsidP="006C4522">
      <w:pPr>
        <w:pStyle w:val="BodyTextFirstIndent"/>
      </w:pPr>
      <w:r w:rsidRPr="006C4522">
        <w:t xml:space="preserve">This study found a high number of OE to BBFs among HCPs in </w:t>
      </w:r>
      <w:proofErr w:type="spellStart"/>
      <w:r w:rsidRPr="006C4522">
        <w:t>Arada</w:t>
      </w:r>
      <w:proofErr w:type="spellEnd"/>
      <w:r w:rsidRPr="006C4522">
        <w:t xml:space="preserve"> sub city health centers. The main reasons, which identified in this study for the high number of exposures to BBFs, are the availability of PPE in the facilities, the consistent use of PPE, and training on IP. Therefore, providing training on IP to HCPs and always availing PPE may reduce the number of exposures.</w:t>
      </w:r>
    </w:p>
    <w:p w:rsidR="00EF10C9" w:rsidRPr="00C8425F" w:rsidRDefault="006C4522" w:rsidP="00C8425F">
      <w:pPr>
        <w:pStyle w:val="Heading1"/>
      </w:pPr>
      <w:bookmarkStart w:id="10" w:name="_GoBack"/>
      <w:r w:rsidRPr="00C8425F">
        <w:t>Reference</w:t>
      </w:r>
      <w:bookmarkEnd w:id="9"/>
      <w:r w:rsidR="00C8425F" w:rsidRPr="00C8425F">
        <w:t>s</w:t>
      </w:r>
    </w:p>
    <w:bookmarkEnd w:id="10"/>
    <w:p w:rsidR="00EF10C9" w:rsidRPr="00015442" w:rsidRDefault="00EF10C9" w:rsidP="00015442">
      <w:pPr>
        <w:pStyle w:val="ListNumber"/>
        <w:rPr>
          <w:rStyle w:val="FootnoteReference"/>
        </w:rPr>
      </w:pPr>
      <w:r w:rsidRPr="00015442">
        <w:rPr>
          <w:rStyle w:val="FootnoteReference"/>
        </w:rPr>
        <w:t>https://www.cartercenter.org/resources/pdfs/health/ephti/library/lecture_notes/env_occupational_health_students/ln_occ_health_safety_final.pdf</w:t>
      </w:r>
    </w:p>
    <w:p w:rsidR="00EF10C9" w:rsidRPr="00015442" w:rsidRDefault="00EF10C9" w:rsidP="00015442">
      <w:pPr>
        <w:pStyle w:val="ListNumber"/>
        <w:rPr>
          <w:rStyle w:val="FootnoteReference"/>
        </w:rPr>
      </w:pPr>
      <w:r w:rsidRPr="00015442">
        <w:rPr>
          <w:rStyle w:val="FootnoteReference"/>
        </w:rPr>
        <w:t>WHO (2007) Post-</w:t>
      </w:r>
      <w:r w:rsidR="00D81D68" w:rsidRPr="00015442">
        <w:rPr>
          <w:rStyle w:val="FootnoteReference"/>
        </w:rPr>
        <w:t xml:space="preserve">exposure prophylaxis to prevent </w:t>
      </w:r>
      <w:r w:rsidRPr="00015442">
        <w:rPr>
          <w:rStyle w:val="FootnoteReference"/>
        </w:rPr>
        <w:t>HIV Infection: Joint WHO. ILO Guidelines on post-exposure prophylaxis (PEP) to prevent HIV infection.</w:t>
      </w:r>
    </w:p>
    <w:p w:rsidR="00EF10C9" w:rsidRPr="00015442" w:rsidRDefault="00652212" w:rsidP="00015442">
      <w:pPr>
        <w:pStyle w:val="ListNumber"/>
        <w:rPr>
          <w:rStyle w:val="FootnoteReference"/>
        </w:rPr>
      </w:pPr>
      <w:hyperlink r:id="rId9" w:history="1">
        <w:r w:rsidR="00EF10C9" w:rsidRPr="00015442">
          <w:rPr>
            <w:rStyle w:val="FootnoteReference"/>
          </w:rPr>
          <w:t xml:space="preserve">Armstrong TW, Liang Y, Hetherington Y, Bowes III SM, Wong O, et al. (2011) Retrospective occupational exposure assessment for case-control and case-series epidemiology studies based in Shanghai China. J </w:t>
        </w:r>
        <w:proofErr w:type="spellStart"/>
        <w:r w:rsidR="00EF10C9" w:rsidRPr="00015442">
          <w:rPr>
            <w:rStyle w:val="FootnoteReference"/>
          </w:rPr>
          <w:t>Occup</w:t>
        </w:r>
        <w:proofErr w:type="spellEnd"/>
        <w:r w:rsidR="00EF10C9" w:rsidRPr="00015442">
          <w:rPr>
            <w:rStyle w:val="FootnoteReference"/>
          </w:rPr>
          <w:t xml:space="preserve"> Environ </w:t>
        </w:r>
        <w:proofErr w:type="spellStart"/>
        <w:r w:rsidR="00EF10C9" w:rsidRPr="00015442">
          <w:rPr>
            <w:rStyle w:val="FootnoteReference"/>
          </w:rPr>
          <w:t>Hyg</w:t>
        </w:r>
        <w:proofErr w:type="spellEnd"/>
        <w:r w:rsidR="00EF10C9" w:rsidRPr="00015442">
          <w:rPr>
            <w:rStyle w:val="FootnoteReference"/>
          </w:rPr>
          <w:t> 8: 561-572.</w:t>
        </w:r>
      </w:hyperlink>
      <w:r w:rsidR="00EF10C9" w:rsidRPr="00015442">
        <w:rPr>
          <w:rStyle w:val="FootnoteReference"/>
        </w:rPr>
        <w:t xml:space="preserve"> </w:t>
      </w:r>
    </w:p>
    <w:p w:rsidR="00EF10C9" w:rsidRPr="00015442" w:rsidRDefault="00EF10C9" w:rsidP="00015442">
      <w:pPr>
        <w:pStyle w:val="ListNumber"/>
        <w:rPr>
          <w:rStyle w:val="FootnoteReference"/>
        </w:rPr>
      </w:pPr>
      <w:proofErr w:type="spellStart"/>
      <w:r w:rsidRPr="00015442">
        <w:rPr>
          <w:rStyle w:val="FootnoteReference"/>
        </w:rPr>
        <w:t>Hajjaji</w:t>
      </w:r>
      <w:proofErr w:type="spellEnd"/>
      <w:r w:rsidRPr="00015442">
        <w:rPr>
          <w:rStyle w:val="FootnoteReference"/>
        </w:rPr>
        <w:t xml:space="preserve"> MD, </w:t>
      </w:r>
      <w:proofErr w:type="spellStart"/>
      <w:r w:rsidRPr="00015442">
        <w:rPr>
          <w:rStyle w:val="FootnoteReference"/>
        </w:rPr>
        <w:t>Chaabouni</w:t>
      </w:r>
      <w:proofErr w:type="spellEnd"/>
      <w:r w:rsidRPr="00015442">
        <w:rPr>
          <w:rStyle w:val="FootnoteReference"/>
        </w:rPr>
        <w:t xml:space="preserve"> T, </w:t>
      </w:r>
      <w:proofErr w:type="spellStart"/>
      <w:r w:rsidRPr="00015442">
        <w:rPr>
          <w:rStyle w:val="FootnoteReference"/>
        </w:rPr>
        <w:t>Jmal</w:t>
      </w:r>
      <w:proofErr w:type="spellEnd"/>
      <w:r w:rsidRPr="00015442">
        <w:rPr>
          <w:rStyle w:val="FootnoteReference"/>
        </w:rPr>
        <w:t xml:space="preserve"> KH, </w:t>
      </w:r>
      <w:proofErr w:type="spellStart"/>
      <w:r w:rsidRPr="00015442">
        <w:rPr>
          <w:rStyle w:val="FootnoteReference"/>
        </w:rPr>
        <w:t>Messadi</w:t>
      </w:r>
      <w:proofErr w:type="spellEnd"/>
      <w:r w:rsidRPr="00015442">
        <w:rPr>
          <w:rStyle w:val="FootnoteReference"/>
        </w:rPr>
        <w:t xml:space="preserve"> FA, </w:t>
      </w:r>
      <w:proofErr w:type="spellStart"/>
      <w:r w:rsidRPr="00015442">
        <w:rPr>
          <w:rStyle w:val="FootnoteReference"/>
        </w:rPr>
        <w:t>Abdennadher</w:t>
      </w:r>
      <w:proofErr w:type="spellEnd"/>
      <w:r w:rsidRPr="00015442">
        <w:rPr>
          <w:rStyle w:val="FootnoteReference"/>
        </w:rPr>
        <w:t xml:space="preserve"> M, et al.(2014) Occupational blood exposure among health care personnel and hospital trainees. </w:t>
      </w:r>
      <w:proofErr w:type="spellStart"/>
      <w:r w:rsidRPr="00015442">
        <w:rPr>
          <w:rStyle w:val="FootnoteReference"/>
        </w:rPr>
        <w:t>Int</w:t>
      </w:r>
      <w:proofErr w:type="spellEnd"/>
      <w:r w:rsidRPr="00015442">
        <w:rPr>
          <w:rStyle w:val="FootnoteReference"/>
        </w:rPr>
        <w:t xml:space="preserve"> J </w:t>
      </w:r>
      <w:proofErr w:type="spellStart"/>
      <w:r w:rsidRPr="00015442">
        <w:rPr>
          <w:rStyle w:val="FootnoteReference"/>
        </w:rPr>
        <w:t>Occup</w:t>
      </w:r>
      <w:proofErr w:type="spellEnd"/>
      <w:r w:rsidRPr="00015442">
        <w:rPr>
          <w:rStyle w:val="FootnoteReference"/>
        </w:rPr>
        <w:t xml:space="preserve"> Environ Med 5: 57-61.</w:t>
      </w:r>
    </w:p>
    <w:p w:rsidR="004269E4" w:rsidRPr="00015442" w:rsidRDefault="00EF10C9" w:rsidP="00015442">
      <w:pPr>
        <w:pStyle w:val="ListNumber"/>
        <w:rPr>
          <w:rStyle w:val="FootnoteReference"/>
        </w:rPr>
      </w:pPr>
      <w:proofErr w:type="spellStart"/>
      <w:r w:rsidRPr="00015442">
        <w:rPr>
          <w:rStyle w:val="FootnoteReference"/>
        </w:rPr>
        <w:t>Alemie</w:t>
      </w:r>
      <w:proofErr w:type="spellEnd"/>
      <w:r w:rsidRPr="00015442">
        <w:rPr>
          <w:rStyle w:val="FootnoteReference"/>
        </w:rPr>
        <w:t xml:space="preserve"> GA (2012) Exploration of healthcare workers’ perceptions on occupational risk of HIV transmission at the University of Gondar Hospital, Northwest Ethiopia. BMC Res Notes 5: 704. </w:t>
      </w:r>
    </w:p>
    <w:p w:rsidR="00EF10C9" w:rsidRPr="00015442" w:rsidRDefault="00652212" w:rsidP="00015442">
      <w:pPr>
        <w:pStyle w:val="ListNumber"/>
        <w:rPr>
          <w:rStyle w:val="FootnoteReference"/>
        </w:rPr>
      </w:pPr>
      <w:hyperlink r:id="rId10" w:history="1">
        <w:r w:rsidR="00EF10C9" w:rsidRPr="00015442">
          <w:rPr>
            <w:rStyle w:val="FootnoteReference"/>
          </w:rPr>
          <w:t xml:space="preserve">World Health Organization. (2002) The world health report 2002: Reducing risks, promoting healthy life. World Health Organization.  </w:t>
        </w:r>
      </w:hyperlink>
      <w:r w:rsidR="00EF10C9" w:rsidRPr="00015442">
        <w:rPr>
          <w:rStyle w:val="FootnoteReference"/>
        </w:rPr>
        <w:t xml:space="preserve"> </w:t>
      </w:r>
    </w:p>
    <w:p w:rsidR="00EF10C9" w:rsidRPr="00015442" w:rsidRDefault="00C3073A" w:rsidP="00015442">
      <w:pPr>
        <w:pStyle w:val="ListNumber"/>
        <w:rPr>
          <w:rStyle w:val="FootnoteReference"/>
        </w:rPr>
      </w:pPr>
      <w:r w:rsidRPr="00015442">
        <w:rPr>
          <w:rStyle w:val="FootnoteReference"/>
        </w:rPr>
        <w:t xml:space="preserve"> </w:t>
      </w:r>
      <w:hyperlink r:id="rId11" w:history="1">
        <w:r w:rsidR="00EF10C9" w:rsidRPr="00015442">
          <w:rPr>
            <w:rStyle w:val="FootnoteReference"/>
          </w:rPr>
          <w:t>Bartlett JG (2006) USPHS updates occupational HIV post-exposure prophylaxis guidelines. The Hopkins HIV report: A bimonthly newsletter for healthcare providers 18: 10-11.</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12" w:history="1">
        <w:proofErr w:type="spellStart"/>
        <w:r w:rsidR="00EF10C9" w:rsidRPr="00015442">
          <w:rPr>
            <w:rStyle w:val="FootnoteReference"/>
          </w:rPr>
          <w:t>Reda</w:t>
        </w:r>
        <w:proofErr w:type="spellEnd"/>
        <w:r w:rsidR="00EF10C9" w:rsidRPr="00015442">
          <w:rPr>
            <w:rStyle w:val="FootnoteReference"/>
          </w:rPr>
          <w:t xml:space="preserve"> AA, </w:t>
        </w:r>
        <w:proofErr w:type="spellStart"/>
        <w:r w:rsidR="00EF10C9" w:rsidRPr="00015442">
          <w:rPr>
            <w:rStyle w:val="FootnoteReference"/>
          </w:rPr>
          <w:t>Fisseha</w:t>
        </w:r>
        <w:proofErr w:type="spellEnd"/>
        <w:r w:rsidR="00EF10C9" w:rsidRPr="00015442">
          <w:rPr>
            <w:rStyle w:val="FootnoteReference"/>
          </w:rPr>
          <w:t xml:space="preserve"> S, </w:t>
        </w:r>
        <w:proofErr w:type="spellStart"/>
        <w:r w:rsidR="00EF10C9" w:rsidRPr="00015442">
          <w:rPr>
            <w:rStyle w:val="FootnoteReference"/>
          </w:rPr>
          <w:t>Mengistie</w:t>
        </w:r>
        <w:proofErr w:type="spellEnd"/>
        <w:r w:rsidR="00EF10C9" w:rsidRPr="00015442">
          <w:rPr>
            <w:rStyle w:val="FootnoteReference"/>
          </w:rPr>
          <w:t xml:space="preserve"> B, </w:t>
        </w:r>
        <w:proofErr w:type="spellStart"/>
        <w:r w:rsidR="00EF10C9" w:rsidRPr="00015442">
          <w:rPr>
            <w:rStyle w:val="FootnoteReference"/>
          </w:rPr>
          <w:t>Vandeweerd</w:t>
        </w:r>
        <w:proofErr w:type="spellEnd"/>
        <w:r w:rsidR="00EF10C9" w:rsidRPr="00015442">
          <w:rPr>
            <w:rStyle w:val="FootnoteReference"/>
          </w:rPr>
          <w:t xml:space="preserve"> JM (2010) Standard precautions: Occupational exposure and behavior of health care workers in Ethiopia. </w:t>
        </w:r>
        <w:proofErr w:type="spellStart"/>
        <w:r w:rsidR="00EF10C9" w:rsidRPr="00015442">
          <w:rPr>
            <w:rStyle w:val="FootnoteReference"/>
          </w:rPr>
          <w:t>PLoS</w:t>
        </w:r>
        <w:proofErr w:type="spellEnd"/>
        <w:r w:rsidR="00EF10C9" w:rsidRPr="00015442">
          <w:rPr>
            <w:rStyle w:val="FootnoteReference"/>
          </w:rPr>
          <w:t xml:space="preserve"> One 5.</w:t>
        </w:r>
      </w:hyperlink>
      <w:r w:rsidR="00EF10C9" w:rsidRPr="00015442">
        <w:rPr>
          <w:rStyle w:val="FootnoteReference"/>
        </w:rPr>
        <w:t xml:space="preserve"> </w:t>
      </w:r>
    </w:p>
    <w:p w:rsidR="004269E4" w:rsidRPr="00015442" w:rsidRDefault="00EF10C9" w:rsidP="00015442">
      <w:pPr>
        <w:pStyle w:val="ListNumber"/>
        <w:rPr>
          <w:rStyle w:val="FootnoteReference"/>
        </w:rPr>
      </w:pPr>
      <w:proofErr w:type="spellStart"/>
      <w:r w:rsidRPr="00015442">
        <w:rPr>
          <w:rStyle w:val="FootnoteReference"/>
        </w:rPr>
        <w:t>Tebeje</w:t>
      </w:r>
      <w:proofErr w:type="spellEnd"/>
      <w:r w:rsidRPr="00015442">
        <w:rPr>
          <w:rStyle w:val="FootnoteReference"/>
        </w:rPr>
        <w:t xml:space="preserve"> B, </w:t>
      </w:r>
      <w:proofErr w:type="spellStart"/>
      <w:r w:rsidRPr="00015442">
        <w:rPr>
          <w:rStyle w:val="FootnoteReference"/>
        </w:rPr>
        <w:t>Hailu</w:t>
      </w:r>
      <w:proofErr w:type="spellEnd"/>
      <w:r w:rsidRPr="00015442">
        <w:rPr>
          <w:rStyle w:val="FootnoteReference"/>
        </w:rPr>
        <w:t xml:space="preserve"> C (2010) Assessment of HIV post-exposure prophylaxis use among health workers of governmental health institutions in </w:t>
      </w:r>
      <w:proofErr w:type="spellStart"/>
      <w:r w:rsidRPr="00015442">
        <w:rPr>
          <w:rStyle w:val="FootnoteReference"/>
        </w:rPr>
        <w:t>Jimma</w:t>
      </w:r>
      <w:proofErr w:type="spellEnd"/>
      <w:r w:rsidRPr="00015442">
        <w:rPr>
          <w:rStyle w:val="FootnoteReference"/>
        </w:rPr>
        <w:t xml:space="preserve"> Zone, </w:t>
      </w:r>
      <w:proofErr w:type="spellStart"/>
      <w:r w:rsidRPr="00015442">
        <w:rPr>
          <w:rStyle w:val="FootnoteReference"/>
        </w:rPr>
        <w:t>Oromiya</w:t>
      </w:r>
      <w:proofErr w:type="spellEnd"/>
      <w:r w:rsidRPr="00015442">
        <w:rPr>
          <w:rStyle w:val="FootnoteReference"/>
        </w:rPr>
        <w:t xml:space="preserve"> Region, Southwest Ethiopia. Ethiop J Health </w:t>
      </w:r>
      <w:proofErr w:type="spellStart"/>
      <w:r w:rsidRPr="00015442">
        <w:rPr>
          <w:rStyle w:val="FootnoteReference"/>
        </w:rPr>
        <w:t>Sci</w:t>
      </w:r>
      <w:proofErr w:type="spellEnd"/>
      <w:r w:rsidRPr="00015442">
        <w:rPr>
          <w:rStyle w:val="FootnoteReference"/>
        </w:rPr>
        <w:t xml:space="preserve"> 20: 55–64. </w:t>
      </w:r>
    </w:p>
    <w:p w:rsidR="00EF10C9" w:rsidRPr="00015442" w:rsidRDefault="00652212" w:rsidP="00015442">
      <w:pPr>
        <w:pStyle w:val="ListNumber"/>
        <w:rPr>
          <w:rStyle w:val="FootnoteReference"/>
        </w:rPr>
      </w:pPr>
      <w:hyperlink r:id="rId13" w:history="1">
        <w:proofErr w:type="spellStart"/>
        <w:r w:rsidR="00EF10C9" w:rsidRPr="00015442">
          <w:rPr>
            <w:rStyle w:val="FootnoteReference"/>
          </w:rPr>
          <w:t>Yenesew</w:t>
        </w:r>
        <w:proofErr w:type="spellEnd"/>
        <w:r w:rsidR="00EF10C9" w:rsidRPr="00015442">
          <w:rPr>
            <w:rStyle w:val="FootnoteReference"/>
          </w:rPr>
          <w:t xml:space="preserve">, M. A., &amp; </w:t>
        </w:r>
        <w:proofErr w:type="spellStart"/>
        <w:r w:rsidR="00EF10C9" w:rsidRPr="00015442">
          <w:rPr>
            <w:rStyle w:val="FootnoteReference"/>
          </w:rPr>
          <w:t>Fekadu</w:t>
        </w:r>
        <w:proofErr w:type="spellEnd"/>
        <w:r w:rsidR="00EF10C9" w:rsidRPr="00015442">
          <w:rPr>
            <w:rStyle w:val="FootnoteReference"/>
          </w:rPr>
          <w:t xml:space="preserve">, G. A. (2014). Occupational exposure to blood and body fluids among health care professionals in </w:t>
        </w:r>
        <w:proofErr w:type="spellStart"/>
        <w:r w:rsidR="00EF10C9" w:rsidRPr="00015442">
          <w:rPr>
            <w:rStyle w:val="FootnoteReference"/>
          </w:rPr>
          <w:t>Bahir</w:t>
        </w:r>
        <w:proofErr w:type="spellEnd"/>
        <w:r w:rsidR="00EF10C9" w:rsidRPr="00015442">
          <w:rPr>
            <w:rStyle w:val="FootnoteReference"/>
          </w:rPr>
          <w:t xml:space="preserve"> Dar town, Northwest Ethiopia. Safety and health at work 5: 17-22.</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14" w:history="1">
        <w:r w:rsidR="00EF10C9" w:rsidRPr="00015442">
          <w:rPr>
            <w:rStyle w:val="FootnoteReference"/>
          </w:rPr>
          <w:t>www.cdc.gov/mmwr/preview/mmwrhtml/rr5011a1.htm</w:t>
        </w:r>
      </w:hyperlink>
      <w:r w:rsidR="004269E4" w:rsidRPr="00015442">
        <w:rPr>
          <w:rStyle w:val="FootnoteReference"/>
        </w:rPr>
        <w:t xml:space="preserve">  </w:t>
      </w:r>
    </w:p>
    <w:p w:rsidR="00EF10C9" w:rsidRPr="00015442" w:rsidRDefault="00EF10C9" w:rsidP="00015442">
      <w:pPr>
        <w:pStyle w:val="ListNumber"/>
        <w:rPr>
          <w:rStyle w:val="FootnoteReference"/>
        </w:rPr>
      </w:pPr>
      <w:r w:rsidRPr="00015442">
        <w:rPr>
          <w:rStyle w:val="FootnoteReference"/>
        </w:rPr>
        <w:t xml:space="preserve">Kermode M, </w:t>
      </w:r>
      <w:proofErr w:type="spellStart"/>
      <w:r w:rsidRPr="00015442">
        <w:rPr>
          <w:rStyle w:val="FootnoteReference"/>
        </w:rPr>
        <w:t>Jolley</w:t>
      </w:r>
      <w:proofErr w:type="spellEnd"/>
      <w:r w:rsidRPr="00015442">
        <w:rPr>
          <w:rStyle w:val="FootnoteReference"/>
        </w:rPr>
        <w:t xml:space="preserve"> D, </w:t>
      </w:r>
      <w:proofErr w:type="spellStart"/>
      <w:r w:rsidRPr="00015442">
        <w:rPr>
          <w:rStyle w:val="FootnoteReference"/>
        </w:rPr>
        <w:t>Langkham</w:t>
      </w:r>
      <w:proofErr w:type="spellEnd"/>
      <w:r w:rsidRPr="00015442">
        <w:rPr>
          <w:rStyle w:val="FootnoteReference"/>
        </w:rPr>
        <w:t xml:space="preserve"> B, Thomas MS, Crofts N, et al. (2005) Occupational exposure to blood and risk of </w:t>
      </w:r>
      <w:proofErr w:type="spellStart"/>
      <w:r w:rsidRPr="00015442">
        <w:rPr>
          <w:rStyle w:val="FootnoteReference"/>
        </w:rPr>
        <w:t>bloodborne</w:t>
      </w:r>
      <w:proofErr w:type="spellEnd"/>
      <w:r w:rsidRPr="00015442">
        <w:rPr>
          <w:rStyle w:val="FootnoteReference"/>
        </w:rPr>
        <w:t xml:space="preserve"> virus infection among health care workers in rural north Indian health care settings. Am J Infect Control 33: 34-41.</w:t>
      </w:r>
    </w:p>
    <w:p w:rsidR="00EF10C9" w:rsidRPr="00015442" w:rsidRDefault="00652212" w:rsidP="00015442">
      <w:pPr>
        <w:pStyle w:val="ListNumber"/>
        <w:rPr>
          <w:rStyle w:val="FootnoteReference"/>
        </w:rPr>
      </w:pPr>
      <w:hyperlink r:id="rId15" w:history="1">
        <w:proofErr w:type="spellStart"/>
        <w:r w:rsidR="00EF10C9" w:rsidRPr="00015442">
          <w:rPr>
            <w:rStyle w:val="FootnoteReference"/>
          </w:rPr>
          <w:t>Naderi</w:t>
        </w:r>
        <w:proofErr w:type="spellEnd"/>
        <w:r w:rsidR="00EF10C9" w:rsidRPr="00015442">
          <w:rPr>
            <w:rStyle w:val="FootnoteReference"/>
          </w:rPr>
          <w:t xml:space="preserve"> H, </w:t>
        </w:r>
        <w:proofErr w:type="spellStart"/>
        <w:r w:rsidR="00EF10C9" w:rsidRPr="00015442">
          <w:rPr>
            <w:rStyle w:val="FootnoteReference"/>
          </w:rPr>
          <w:t>Sheybani</w:t>
        </w:r>
        <w:proofErr w:type="spellEnd"/>
        <w:r w:rsidR="00EF10C9" w:rsidRPr="00015442">
          <w:rPr>
            <w:rStyle w:val="FootnoteReference"/>
          </w:rPr>
          <w:t xml:space="preserve"> F, </w:t>
        </w:r>
        <w:proofErr w:type="spellStart"/>
        <w:r w:rsidR="00EF10C9" w:rsidRPr="00015442">
          <w:rPr>
            <w:rStyle w:val="FootnoteReference"/>
          </w:rPr>
          <w:t>Bojdi</w:t>
        </w:r>
        <w:proofErr w:type="spellEnd"/>
        <w:r w:rsidR="00EF10C9" w:rsidRPr="00015442">
          <w:rPr>
            <w:rStyle w:val="FootnoteReference"/>
          </w:rPr>
          <w:t xml:space="preserve"> A, </w:t>
        </w:r>
        <w:proofErr w:type="spellStart"/>
        <w:r w:rsidR="00EF10C9" w:rsidRPr="00015442">
          <w:rPr>
            <w:rStyle w:val="FootnoteReference"/>
          </w:rPr>
          <w:t>Mostafavi</w:t>
        </w:r>
        <w:proofErr w:type="spellEnd"/>
        <w:r w:rsidR="00EF10C9" w:rsidRPr="00015442">
          <w:rPr>
            <w:rStyle w:val="FootnoteReference"/>
          </w:rPr>
          <w:t xml:space="preserve"> I, </w:t>
        </w:r>
        <w:proofErr w:type="spellStart"/>
        <w:r w:rsidR="00EF10C9" w:rsidRPr="00015442">
          <w:rPr>
            <w:rStyle w:val="FootnoteReference"/>
          </w:rPr>
          <w:t>Khosravi</w:t>
        </w:r>
        <w:proofErr w:type="spellEnd"/>
        <w:r w:rsidR="00EF10C9" w:rsidRPr="00015442">
          <w:rPr>
            <w:rStyle w:val="FootnoteReference"/>
          </w:rPr>
          <w:t xml:space="preserve"> N, et al. (2012) Occupational exposure to blood and other body fluids among health care workers at a university hospital in Iran. Workplace Health </w:t>
        </w:r>
        <w:proofErr w:type="spellStart"/>
        <w:r w:rsidR="00EF10C9" w:rsidRPr="00015442">
          <w:rPr>
            <w:rStyle w:val="FootnoteReference"/>
          </w:rPr>
          <w:t>Saf</w:t>
        </w:r>
        <w:proofErr w:type="spellEnd"/>
        <w:r w:rsidR="00EF10C9" w:rsidRPr="00015442">
          <w:rPr>
            <w:rStyle w:val="FootnoteReference"/>
          </w:rPr>
          <w:t> 60: 419-422.</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16" w:history="1">
        <w:proofErr w:type="spellStart"/>
        <w:r w:rsidR="00EF10C9" w:rsidRPr="00015442">
          <w:rPr>
            <w:rStyle w:val="FootnoteReference"/>
          </w:rPr>
          <w:t>Sofola</w:t>
        </w:r>
        <w:proofErr w:type="spellEnd"/>
        <w:r w:rsidR="00EF10C9" w:rsidRPr="00015442">
          <w:rPr>
            <w:rStyle w:val="FootnoteReference"/>
          </w:rPr>
          <w:t xml:space="preserve"> OO, </w:t>
        </w:r>
        <w:proofErr w:type="spellStart"/>
        <w:r w:rsidR="00EF10C9" w:rsidRPr="00015442">
          <w:rPr>
            <w:rStyle w:val="FootnoteReference"/>
          </w:rPr>
          <w:t>Folayan</w:t>
        </w:r>
        <w:proofErr w:type="spellEnd"/>
        <w:r w:rsidR="00EF10C9" w:rsidRPr="00015442">
          <w:rPr>
            <w:rStyle w:val="FootnoteReference"/>
          </w:rPr>
          <w:t xml:space="preserve"> MO, </w:t>
        </w:r>
        <w:proofErr w:type="spellStart"/>
        <w:r w:rsidR="00EF10C9" w:rsidRPr="00015442">
          <w:rPr>
            <w:rStyle w:val="FootnoteReference"/>
          </w:rPr>
          <w:t>Denloye</w:t>
        </w:r>
        <w:proofErr w:type="spellEnd"/>
        <w:r w:rsidR="00EF10C9" w:rsidRPr="00015442">
          <w:rPr>
            <w:rStyle w:val="FootnoteReference"/>
          </w:rPr>
          <w:t xml:space="preserve"> OO, </w:t>
        </w:r>
        <w:proofErr w:type="spellStart"/>
        <w:r w:rsidR="00EF10C9" w:rsidRPr="00015442">
          <w:rPr>
            <w:rStyle w:val="FootnoteReference"/>
          </w:rPr>
          <w:t>Okeigbemen</w:t>
        </w:r>
        <w:proofErr w:type="spellEnd"/>
        <w:r w:rsidR="00EF10C9" w:rsidRPr="00015442">
          <w:rPr>
            <w:rStyle w:val="FootnoteReference"/>
          </w:rPr>
          <w:t xml:space="preserve"> SA (2007) Occupational exposure to </w:t>
        </w:r>
        <w:proofErr w:type="spellStart"/>
        <w:r w:rsidR="00EF10C9" w:rsidRPr="00015442">
          <w:rPr>
            <w:rStyle w:val="FootnoteReference"/>
          </w:rPr>
          <w:t>bloodborne</w:t>
        </w:r>
        <w:proofErr w:type="spellEnd"/>
        <w:r w:rsidR="00EF10C9" w:rsidRPr="00015442">
          <w:rPr>
            <w:rStyle w:val="FootnoteReference"/>
          </w:rPr>
          <w:t xml:space="preserve"> pathogens and management of exposure incidents in Nigerian dental schools. J Dent </w:t>
        </w:r>
        <w:proofErr w:type="spellStart"/>
        <w:r w:rsidR="00EF10C9" w:rsidRPr="00015442">
          <w:rPr>
            <w:rStyle w:val="FootnoteReference"/>
          </w:rPr>
          <w:t>Educ</w:t>
        </w:r>
        <w:proofErr w:type="spellEnd"/>
        <w:r w:rsidR="00EF10C9" w:rsidRPr="00015442">
          <w:rPr>
            <w:rStyle w:val="FootnoteReference"/>
          </w:rPr>
          <w:t> 71: 832-837.</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17" w:history="1">
        <w:proofErr w:type="spellStart"/>
        <w:r w:rsidR="00EF10C9" w:rsidRPr="00015442">
          <w:rPr>
            <w:rStyle w:val="FootnoteReference"/>
          </w:rPr>
          <w:t>Koné</w:t>
        </w:r>
        <w:proofErr w:type="spellEnd"/>
        <w:r w:rsidR="00EF10C9" w:rsidRPr="00015442">
          <w:rPr>
            <w:rStyle w:val="FootnoteReference"/>
          </w:rPr>
          <w:t xml:space="preserve"> MC, </w:t>
        </w:r>
        <w:proofErr w:type="spellStart"/>
        <w:r w:rsidR="00EF10C9" w:rsidRPr="00015442">
          <w:rPr>
            <w:rStyle w:val="FootnoteReference"/>
          </w:rPr>
          <w:t>Mallé</w:t>
        </w:r>
        <w:proofErr w:type="spellEnd"/>
        <w:r w:rsidR="00EF10C9" w:rsidRPr="00015442">
          <w:rPr>
            <w:rStyle w:val="FootnoteReference"/>
          </w:rPr>
          <w:t xml:space="preserve"> KK (2015) Blood exposure accidents: </w:t>
        </w:r>
        <w:r w:rsidR="001403D6" w:rsidRPr="00015442">
          <w:rPr>
            <w:rStyle w:val="FootnoteReference"/>
          </w:rPr>
          <w:t xml:space="preserve">Knowledge </w:t>
        </w:r>
        <w:r w:rsidR="00EF10C9" w:rsidRPr="00015442">
          <w:rPr>
            <w:rStyle w:val="FootnoteReference"/>
          </w:rPr>
          <w:t xml:space="preserve">and practices of hospital health workers in Mali. Bull </w:t>
        </w:r>
        <w:proofErr w:type="spellStart"/>
        <w:r w:rsidR="00EF10C9" w:rsidRPr="00015442">
          <w:rPr>
            <w:rStyle w:val="FootnoteReference"/>
          </w:rPr>
          <w:t>Soc</w:t>
        </w:r>
        <w:proofErr w:type="spellEnd"/>
        <w:r w:rsidR="00EF10C9" w:rsidRPr="00015442">
          <w:rPr>
            <w:rStyle w:val="FootnoteReference"/>
          </w:rPr>
          <w:t xml:space="preserve"> </w:t>
        </w:r>
        <w:proofErr w:type="spellStart"/>
        <w:r w:rsidR="00EF10C9" w:rsidRPr="00015442">
          <w:rPr>
            <w:rStyle w:val="FootnoteReference"/>
          </w:rPr>
          <w:t>Pathol</w:t>
        </w:r>
        <w:proofErr w:type="spellEnd"/>
        <w:r w:rsidR="00EF10C9" w:rsidRPr="00015442">
          <w:rPr>
            <w:rStyle w:val="FootnoteReference"/>
          </w:rPr>
          <w:t xml:space="preserve"> </w:t>
        </w:r>
        <w:proofErr w:type="spellStart"/>
        <w:r w:rsidR="00EF10C9" w:rsidRPr="00015442">
          <w:rPr>
            <w:rStyle w:val="FootnoteReference"/>
          </w:rPr>
          <w:t>Exot</w:t>
        </w:r>
        <w:proofErr w:type="spellEnd"/>
        <w:r w:rsidR="00EF10C9" w:rsidRPr="00015442">
          <w:rPr>
            <w:rStyle w:val="FootnoteReference"/>
          </w:rPr>
          <w:t xml:space="preserve"> 108: 369-372.</w:t>
        </w:r>
      </w:hyperlink>
      <w:r w:rsidR="00EF10C9" w:rsidRPr="00015442">
        <w:rPr>
          <w:rStyle w:val="FootnoteReference"/>
        </w:rPr>
        <w:t xml:space="preserve"> </w:t>
      </w:r>
    </w:p>
    <w:p w:rsidR="00EF10C9" w:rsidRPr="00015442" w:rsidRDefault="00EF10C9" w:rsidP="00015442">
      <w:pPr>
        <w:pStyle w:val="ListNumber"/>
        <w:rPr>
          <w:rStyle w:val="FootnoteReference"/>
        </w:rPr>
      </w:pPr>
      <w:r w:rsidRPr="00015442">
        <w:rPr>
          <w:rStyle w:val="FootnoteReference"/>
        </w:rPr>
        <w:t xml:space="preserve">Snell SA, </w:t>
      </w:r>
      <w:proofErr w:type="spellStart"/>
      <w:r w:rsidRPr="00015442">
        <w:rPr>
          <w:rStyle w:val="FootnoteReference"/>
        </w:rPr>
        <w:t>Shadur</w:t>
      </w:r>
      <w:proofErr w:type="spellEnd"/>
      <w:r w:rsidRPr="00015442">
        <w:rPr>
          <w:rStyle w:val="FootnoteReference"/>
        </w:rPr>
        <w:t xml:space="preserve"> MA, Wright PM (2000) Human resources strategy: The era of our ways.</w:t>
      </w:r>
    </w:p>
    <w:p w:rsidR="00EF10C9" w:rsidRPr="00015442" w:rsidRDefault="00652212" w:rsidP="00015442">
      <w:pPr>
        <w:pStyle w:val="ListNumber"/>
        <w:rPr>
          <w:rStyle w:val="FootnoteReference"/>
        </w:rPr>
      </w:pPr>
      <w:hyperlink r:id="rId18" w:history="1">
        <w:proofErr w:type="spellStart"/>
        <w:r w:rsidR="00EF10C9" w:rsidRPr="00015442">
          <w:rPr>
            <w:rStyle w:val="FootnoteReference"/>
          </w:rPr>
          <w:t>Mbaisi</w:t>
        </w:r>
        <w:proofErr w:type="spellEnd"/>
        <w:r w:rsidR="00EF10C9" w:rsidRPr="00015442">
          <w:rPr>
            <w:rStyle w:val="FootnoteReference"/>
          </w:rPr>
          <w:t xml:space="preserve"> EM, </w:t>
        </w:r>
        <w:proofErr w:type="spellStart"/>
        <w:r w:rsidR="00EF10C9" w:rsidRPr="00015442">
          <w:rPr>
            <w:rStyle w:val="FootnoteReference"/>
          </w:rPr>
          <w:t>Wanzala</w:t>
        </w:r>
        <w:proofErr w:type="spellEnd"/>
        <w:r w:rsidR="00EF10C9" w:rsidRPr="00015442">
          <w:rPr>
            <w:rStyle w:val="FootnoteReference"/>
          </w:rPr>
          <w:t xml:space="preserve"> P, </w:t>
        </w:r>
        <w:proofErr w:type="spellStart"/>
        <w:r w:rsidR="00EF10C9" w:rsidRPr="00015442">
          <w:rPr>
            <w:rStyle w:val="FootnoteReference"/>
          </w:rPr>
          <w:t>Omolo</w:t>
        </w:r>
        <w:proofErr w:type="spellEnd"/>
        <w:r w:rsidR="00EF10C9" w:rsidRPr="00015442">
          <w:rPr>
            <w:rStyle w:val="FootnoteReference"/>
          </w:rPr>
          <w:t xml:space="preserve"> J (2013) Prevalence and factors associated with percutaneous injuries and splash exposures among health-care workers in a provincial hospital, Kenya. Pan </w:t>
        </w:r>
        <w:proofErr w:type="spellStart"/>
        <w:r w:rsidR="00EF10C9" w:rsidRPr="00015442">
          <w:rPr>
            <w:rStyle w:val="FootnoteReference"/>
          </w:rPr>
          <w:t>Afr</w:t>
        </w:r>
        <w:proofErr w:type="spellEnd"/>
        <w:r w:rsidR="00EF10C9" w:rsidRPr="00015442">
          <w:rPr>
            <w:rStyle w:val="FootnoteReference"/>
          </w:rPr>
          <w:t xml:space="preserve"> Med J 14: 14:10.</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19" w:history="1">
        <w:proofErr w:type="spellStart"/>
        <w:r w:rsidR="00EF10C9" w:rsidRPr="00015442">
          <w:rPr>
            <w:rStyle w:val="FootnoteReference"/>
          </w:rPr>
          <w:t>Kumakech</w:t>
        </w:r>
        <w:proofErr w:type="spellEnd"/>
        <w:r w:rsidR="00EF10C9" w:rsidRPr="00015442">
          <w:rPr>
            <w:rStyle w:val="FootnoteReference"/>
          </w:rPr>
          <w:t xml:space="preserve"> E, </w:t>
        </w:r>
        <w:proofErr w:type="spellStart"/>
        <w:r w:rsidR="00EF10C9" w:rsidRPr="00015442">
          <w:rPr>
            <w:rStyle w:val="FootnoteReference"/>
          </w:rPr>
          <w:t>Achora</w:t>
        </w:r>
        <w:proofErr w:type="spellEnd"/>
        <w:r w:rsidR="00EF10C9" w:rsidRPr="00015442">
          <w:rPr>
            <w:rStyle w:val="FootnoteReference"/>
          </w:rPr>
          <w:t xml:space="preserve"> S, Berggren V, </w:t>
        </w:r>
        <w:proofErr w:type="spellStart"/>
        <w:r w:rsidR="00EF10C9" w:rsidRPr="00015442">
          <w:rPr>
            <w:rStyle w:val="FootnoteReference"/>
          </w:rPr>
          <w:t>Bajunirwe</w:t>
        </w:r>
        <w:proofErr w:type="spellEnd"/>
        <w:r w:rsidR="00EF10C9" w:rsidRPr="00015442">
          <w:rPr>
            <w:rStyle w:val="FootnoteReference"/>
          </w:rPr>
          <w:t xml:space="preserve"> F (2011) Occupational exposure to HIV: A conflict situation for health workers. </w:t>
        </w:r>
        <w:proofErr w:type="spellStart"/>
        <w:r w:rsidR="00EF10C9" w:rsidRPr="00015442">
          <w:rPr>
            <w:rStyle w:val="FootnoteReference"/>
          </w:rPr>
          <w:t>Int</w:t>
        </w:r>
        <w:proofErr w:type="spellEnd"/>
        <w:r w:rsidR="00EF10C9" w:rsidRPr="00015442">
          <w:rPr>
            <w:rStyle w:val="FootnoteReference"/>
          </w:rPr>
          <w:t xml:space="preserve"> </w:t>
        </w:r>
        <w:proofErr w:type="spellStart"/>
        <w:r w:rsidR="00EF10C9" w:rsidRPr="00015442">
          <w:rPr>
            <w:rStyle w:val="FootnoteReference"/>
          </w:rPr>
          <w:t>Nurs</w:t>
        </w:r>
        <w:proofErr w:type="spellEnd"/>
        <w:r w:rsidR="00EF10C9" w:rsidRPr="00015442">
          <w:rPr>
            <w:rStyle w:val="FootnoteReference"/>
          </w:rPr>
          <w:t xml:space="preserve"> Rev 58: 454-462.</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20" w:history="1">
        <w:proofErr w:type="spellStart"/>
        <w:r w:rsidR="00EF10C9" w:rsidRPr="00015442">
          <w:rPr>
            <w:rStyle w:val="FootnoteReference"/>
          </w:rPr>
          <w:t>Mashoto</w:t>
        </w:r>
        <w:proofErr w:type="spellEnd"/>
        <w:r w:rsidR="00EF10C9" w:rsidRPr="00015442">
          <w:rPr>
            <w:rStyle w:val="FootnoteReference"/>
          </w:rPr>
          <w:t xml:space="preserve"> KO, </w:t>
        </w:r>
        <w:proofErr w:type="spellStart"/>
        <w:r w:rsidR="00EF10C9" w:rsidRPr="00015442">
          <w:rPr>
            <w:rStyle w:val="FootnoteReference"/>
          </w:rPr>
          <w:t>Mubyazi</w:t>
        </w:r>
        <w:proofErr w:type="spellEnd"/>
        <w:r w:rsidR="00EF10C9" w:rsidRPr="00015442">
          <w:rPr>
            <w:rStyle w:val="FootnoteReference"/>
          </w:rPr>
          <w:t xml:space="preserve"> GM, Mohamed H, </w:t>
        </w:r>
        <w:proofErr w:type="spellStart"/>
        <w:r w:rsidR="00EF10C9" w:rsidRPr="00015442">
          <w:rPr>
            <w:rStyle w:val="FootnoteReference"/>
          </w:rPr>
          <w:t>Malebo</w:t>
        </w:r>
        <w:proofErr w:type="spellEnd"/>
        <w:r w:rsidR="00EF10C9" w:rsidRPr="00015442">
          <w:rPr>
            <w:rStyle w:val="FootnoteReference"/>
          </w:rPr>
          <w:t xml:space="preserve"> HM (2013) Self-reported occupational exposure to HIV and factors influencing its management practice: a study of healthcare workers in </w:t>
        </w:r>
        <w:proofErr w:type="spellStart"/>
        <w:r w:rsidR="00EF10C9" w:rsidRPr="00015442">
          <w:rPr>
            <w:rStyle w:val="FootnoteReference"/>
          </w:rPr>
          <w:t>Tumbi</w:t>
        </w:r>
        <w:proofErr w:type="spellEnd"/>
        <w:r w:rsidR="00EF10C9" w:rsidRPr="00015442">
          <w:rPr>
            <w:rStyle w:val="FootnoteReference"/>
          </w:rPr>
          <w:t xml:space="preserve"> and Dodoma Hospitals, Tanzania. BMC Health </w:t>
        </w:r>
        <w:proofErr w:type="spellStart"/>
        <w:r w:rsidR="00EF10C9" w:rsidRPr="00015442">
          <w:rPr>
            <w:rStyle w:val="FootnoteReference"/>
          </w:rPr>
          <w:t>Serv</w:t>
        </w:r>
        <w:proofErr w:type="spellEnd"/>
        <w:r w:rsidR="00EF10C9" w:rsidRPr="00015442">
          <w:rPr>
            <w:rStyle w:val="FootnoteReference"/>
          </w:rPr>
          <w:t xml:space="preserve"> Res 13: 276.</w:t>
        </w:r>
      </w:hyperlink>
      <w:r w:rsidR="00EF10C9" w:rsidRPr="00015442">
        <w:rPr>
          <w:rStyle w:val="FootnoteReference"/>
        </w:rPr>
        <w:t xml:space="preserve"> </w:t>
      </w:r>
    </w:p>
    <w:p w:rsidR="00EF10C9" w:rsidRPr="00015442" w:rsidRDefault="00652212" w:rsidP="00015442">
      <w:pPr>
        <w:pStyle w:val="ListNumber"/>
        <w:rPr>
          <w:rStyle w:val="FootnoteReference"/>
        </w:rPr>
      </w:pPr>
      <w:hyperlink r:id="rId21" w:history="1">
        <w:r w:rsidR="00EF10C9" w:rsidRPr="00015442">
          <w:rPr>
            <w:rStyle w:val="FootnoteReference"/>
          </w:rPr>
          <w:t xml:space="preserve">Hsieh WB, Chiu N, Lee C, Huang F (2006) Occupational blood and infectious body fluid exposures in a teaching hospital: a three-year review. Journal of Microbiology Immunology and Infection 39: 321.  </w:t>
        </w:r>
      </w:hyperlink>
      <w:r w:rsidR="00EF10C9" w:rsidRPr="00015442">
        <w:rPr>
          <w:rStyle w:val="FootnoteReference"/>
        </w:rPr>
        <w:t xml:space="preserve"> </w:t>
      </w:r>
    </w:p>
    <w:p w:rsidR="00917BA5" w:rsidRPr="00015442" w:rsidRDefault="00652212" w:rsidP="00015442">
      <w:pPr>
        <w:pStyle w:val="ListNumber"/>
        <w:rPr>
          <w:rStyle w:val="FootnoteReference"/>
        </w:rPr>
      </w:pPr>
      <w:hyperlink r:id="rId22" w:history="1">
        <w:r w:rsidR="00EF10C9" w:rsidRPr="00015442">
          <w:rPr>
            <w:rStyle w:val="FootnoteReference"/>
          </w:rPr>
          <w:t xml:space="preserve">Umar AG, Aisha A (2017) Common occupational health hazards amongst Health care workers in a Tertiary Health Institution in </w:t>
        </w:r>
        <w:proofErr w:type="spellStart"/>
        <w:r w:rsidR="00EF10C9" w:rsidRPr="00015442">
          <w:rPr>
            <w:rStyle w:val="FootnoteReference"/>
          </w:rPr>
          <w:t>Bida</w:t>
        </w:r>
        <w:proofErr w:type="spellEnd"/>
        <w:r w:rsidR="00EF10C9" w:rsidRPr="00015442">
          <w:rPr>
            <w:rStyle w:val="FootnoteReference"/>
          </w:rPr>
          <w:t xml:space="preserve">, North-central Nigeria. </w:t>
        </w:r>
        <w:proofErr w:type="spellStart"/>
        <w:r w:rsidR="00EF10C9" w:rsidRPr="00015442">
          <w:rPr>
            <w:rStyle w:val="FootnoteReference"/>
          </w:rPr>
          <w:t>Int</w:t>
        </w:r>
        <w:proofErr w:type="spellEnd"/>
        <w:r w:rsidR="00EF10C9" w:rsidRPr="00015442">
          <w:rPr>
            <w:rStyle w:val="FootnoteReference"/>
          </w:rPr>
          <w:t xml:space="preserve"> J Biomed Res 8: 1–6.</w:t>
        </w:r>
      </w:hyperlink>
      <w:r w:rsidR="00EF10C9" w:rsidRPr="00015442">
        <w:rPr>
          <w:rStyle w:val="FootnoteReference"/>
        </w:rPr>
        <w:t xml:space="preserve"> </w:t>
      </w:r>
    </w:p>
    <w:sectPr w:rsidR="00917BA5" w:rsidRPr="00015442" w:rsidSect="004174CB">
      <w:headerReference w:type="default" r:id="rId23"/>
      <w:footerReference w:type="default" r:id="rId24"/>
      <w:pgSz w:w="12240" w:h="15840" w:code="1"/>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12" w:rsidRDefault="00652212">
      <w:r>
        <w:separator/>
      </w:r>
    </w:p>
  </w:endnote>
  <w:endnote w:type="continuationSeparator" w:id="0">
    <w:p w:rsidR="00652212" w:rsidRDefault="0065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CB" w:rsidRDefault="004174CB">
    <w:pPr>
      <w:pStyle w:val="Footer"/>
      <w:jc w:val="center"/>
    </w:pPr>
  </w:p>
  <w:p w:rsidR="004174CB" w:rsidRDefault="004174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12" w:rsidRDefault="00652212">
      <w:r>
        <w:separator/>
      </w:r>
    </w:p>
  </w:footnote>
  <w:footnote w:type="continuationSeparator" w:id="0">
    <w:p w:rsidR="00652212" w:rsidRDefault="00652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407"/>
      <w:docPartObj>
        <w:docPartGallery w:val="Page Numbers (Top of Page)"/>
        <w:docPartUnique/>
      </w:docPartObj>
    </w:sdtPr>
    <w:sdtEndPr/>
    <w:sdtContent>
      <w:p w:rsidR="004174CB" w:rsidRDefault="004174CB">
        <w:pPr>
          <w:pStyle w:val="Header"/>
          <w:jc w:val="right"/>
        </w:pPr>
        <w:r>
          <w:fldChar w:fldCharType="begin"/>
        </w:r>
        <w:r>
          <w:instrText xml:space="preserve"> PAGE   \* MERGEFORMAT </w:instrText>
        </w:r>
        <w:r>
          <w:fldChar w:fldCharType="separate"/>
        </w:r>
        <w:r w:rsidR="00C8425F">
          <w:rPr>
            <w:noProof/>
          </w:rPr>
          <w:t>10</w:t>
        </w:r>
        <w:r>
          <w:rPr>
            <w:noProof/>
          </w:rPr>
          <w:fldChar w:fldCharType="end"/>
        </w:r>
      </w:p>
    </w:sdtContent>
  </w:sdt>
  <w:p w:rsidR="004174CB" w:rsidRDefault="00417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40295E"/>
    <w:lvl w:ilvl="0">
      <w:start w:val="1"/>
      <w:numFmt w:val="decimal"/>
      <w:lvlText w:val="%1."/>
      <w:lvlJc w:val="left"/>
      <w:pPr>
        <w:tabs>
          <w:tab w:val="num" w:pos="1492"/>
        </w:tabs>
        <w:ind w:left="1492" w:hanging="360"/>
      </w:pPr>
    </w:lvl>
  </w:abstractNum>
  <w:abstractNum w:abstractNumId="1">
    <w:nsid w:val="FFFFFF7D"/>
    <w:multiLevelType w:val="singleLevel"/>
    <w:tmpl w:val="68783B9C"/>
    <w:lvl w:ilvl="0">
      <w:start w:val="1"/>
      <w:numFmt w:val="decimal"/>
      <w:lvlText w:val="%1."/>
      <w:lvlJc w:val="left"/>
      <w:pPr>
        <w:tabs>
          <w:tab w:val="num" w:pos="1209"/>
        </w:tabs>
        <w:ind w:left="1209" w:hanging="360"/>
      </w:pPr>
    </w:lvl>
  </w:abstractNum>
  <w:abstractNum w:abstractNumId="2">
    <w:nsid w:val="FFFFFF7E"/>
    <w:multiLevelType w:val="singleLevel"/>
    <w:tmpl w:val="A9F244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3660E48"/>
    <w:lvl w:ilvl="0">
      <w:start w:val="1"/>
      <w:numFmt w:val="decimal"/>
      <w:lvlText w:val="%1."/>
      <w:lvlJc w:val="left"/>
      <w:pPr>
        <w:tabs>
          <w:tab w:val="num" w:pos="720"/>
        </w:tabs>
        <w:ind w:left="720" w:hanging="360"/>
      </w:pPr>
    </w:lvl>
  </w:abstractNum>
  <w:abstractNum w:abstractNumId="4">
    <w:nsid w:val="FFFFFF80"/>
    <w:multiLevelType w:val="singleLevel"/>
    <w:tmpl w:val="377C08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268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3229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A652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BA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1E0038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B85AF9"/>
    <w:multiLevelType w:val="hybridMultilevel"/>
    <w:tmpl w:val="778CD336"/>
    <w:lvl w:ilvl="0" w:tplc="4DBA32D4">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863A5"/>
    <w:multiLevelType w:val="hybridMultilevel"/>
    <w:tmpl w:val="02E09F10"/>
    <w:lvl w:ilvl="0" w:tplc="471A45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15913"/>
    <w:multiLevelType w:val="hybridMultilevel"/>
    <w:tmpl w:val="D442A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D60B4"/>
    <w:multiLevelType w:val="hybridMultilevel"/>
    <w:tmpl w:val="72EE900E"/>
    <w:lvl w:ilvl="0" w:tplc="E83E316C">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81B40"/>
    <w:multiLevelType w:val="hybridMultilevel"/>
    <w:tmpl w:val="4C000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195C0C"/>
    <w:multiLevelType w:val="multilevel"/>
    <w:tmpl w:val="0F3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3"/>
  </w:num>
  <w:num w:numId="8">
    <w:abstractNumId w:val="3"/>
  </w:num>
  <w:num w:numId="9">
    <w:abstractNumId w:val="8"/>
  </w:num>
  <w:num w:numId="10">
    <w:abstractNumId w:val="9"/>
  </w:num>
  <w:num w:numId="11">
    <w:abstractNumId w:val="8"/>
  </w:num>
  <w:num w:numId="12">
    <w:abstractNumId w:val="7"/>
  </w:num>
  <w:num w:numId="13">
    <w:abstractNumId w:val="3"/>
  </w:num>
  <w:num w:numId="14">
    <w:abstractNumId w:val="8"/>
  </w:num>
  <w:num w:numId="15">
    <w:abstractNumId w:val="6"/>
  </w:num>
  <w:num w:numId="16">
    <w:abstractNumId w:val="5"/>
  </w:num>
  <w:num w:numId="17">
    <w:abstractNumId w:val="4"/>
  </w:num>
  <w:num w:numId="18">
    <w:abstractNumId w:val="2"/>
  </w:num>
  <w:num w:numId="19">
    <w:abstractNumId w:val="1"/>
  </w:num>
  <w:num w:numId="20">
    <w:abstractNumId w:val="0"/>
  </w:num>
  <w:num w:numId="21">
    <w:abstractNumId w:val="9"/>
  </w:num>
  <w:num w:numId="22">
    <w:abstractNumId w:val="8"/>
  </w:num>
  <w:num w:numId="23">
    <w:abstractNumId w:val="7"/>
  </w:num>
  <w:num w:numId="24">
    <w:abstractNumId w:val="9"/>
  </w:num>
  <w:num w:numId="25">
    <w:abstractNumId w:val="7"/>
  </w:num>
  <w:num w:numId="26">
    <w:abstractNumId w:val="6"/>
  </w:num>
  <w:num w:numId="27">
    <w:abstractNumId w:val="5"/>
  </w:num>
  <w:num w:numId="28">
    <w:abstractNumId w:val="10"/>
  </w:num>
  <w:num w:numId="29">
    <w:abstractNumId w:val="2"/>
  </w:num>
  <w:num w:numId="30">
    <w:abstractNumId w:val="8"/>
  </w:num>
  <w:num w:numId="31">
    <w:abstractNumId w:val="13"/>
  </w:num>
  <w:num w:numId="32">
    <w:abstractNumId w:val="15"/>
  </w:num>
  <w:num w:numId="33">
    <w:abstractNumId w:val="11"/>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BF"/>
    <w:rsid w:val="00003354"/>
    <w:rsid w:val="00003DA0"/>
    <w:rsid w:val="00005C22"/>
    <w:rsid w:val="000062E8"/>
    <w:rsid w:val="000069D1"/>
    <w:rsid w:val="00006BCF"/>
    <w:rsid w:val="000072C1"/>
    <w:rsid w:val="00013FA1"/>
    <w:rsid w:val="00014170"/>
    <w:rsid w:val="00015442"/>
    <w:rsid w:val="0001551A"/>
    <w:rsid w:val="00016F37"/>
    <w:rsid w:val="0001718B"/>
    <w:rsid w:val="000207FA"/>
    <w:rsid w:val="00022AE4"/>
    <w:rsid w:val="00022F65"/>
    <w:rsid w:val="00023300"/>
    <w:rsid w:val="00023D28"/>
    <w:rsid w:val="00023FED"/>
    <w:rsid w:val="00024CBB"/>
    <w:rsid w:val="0002584E"/>
    <w:rsid w:val="00026345"/>
    <w:rsid w:val="00026B07"/>
    <w:rsid w:val="00027789"/>
    <w:rsid w:val="0002790A"/>
    <w:rsid w:val="00033CB8"/>
    <w:rsid w:val="00034861"/>
    <w:rsid w:val="00034B25"/>
    <w:rsid w:val="000352ED"/>
    <w:rsid w:val="000371A1"/>
    <w:rsid w:val="00037B8D"/>
    <w:rsid w:val="00037C78"/>
    <w:rsid w:val="0004068C"/>
    <w:rsid w:val="00040A1E"/>
    <w:rsid w:val="0004168A"/>
    <w:rsid w:val="0004230A"/>
    <w:rsid w:val="00042E98"/>
    <w:rsid w:val="0004334B"/>
    <w:rsid w:val="00043728"/>
    <w:rsid w:val="00043A35"/>
    <w:rsid w:val="00043D40"/>
    <w:rsid w:val="00047016"/>
    <w:rsid w:val="000502D3"/>
    <w:rsid w:val="00051D81"/>
    <w:rsid w:val="00051EEA"/>
    <w:rsid w:val="00052A83"/>
    <w:rsid w:val="00054399"/>
    <w:rsid w:val="00055FC4"/>
    <w:rsid w:val="00056975"/>
    <w:rsid w:val="00056AC1"/>
    <w:rsid w:val="00060F17"/>
    <w:rsid w:val="00062A92"/>
    <w:rsid w:val="0006618B"/>
    <w:rsid w:val="00067675"/>
    <w:rsid w:val="00071312"/>
    <w:rsid w:val="0007326E"/>
    <w:rsid w:val="00075E30"/>
    <w:rsid w:val="00077176"/>
    <w:rsid w:val="00081C45"/>
    <w:rsid w:val="0009049C"/>
    <w:rsid w:val="000922CC"/>
    <w:rsid w:val="00092F62"/>
    <w:rsid w:val="000932AD"/>
    <w:rsid w:val="00096372"/>
    <w:rsid w:val="00097853"/>
    <w:rsid w:val="000A2077"/>
    <w:rsid w:val="000A3D76"/>
    <w:rsid w:val="000A48CA"/>
    <w:rsid w:val="000A5580"/>
    <w:rsid w:val="000A5F8B"/>
    <w:rsid w:val="000B1869"/>
    <w:rsid w:val="000B45AD"/>
    <w:rsid w:val="000B47AF"/>
    <w:rsid w:val="000B7C76"/>
    <w:rsid w:val="000C2A4F"/>
    <w:rsid w:val="000C30D3"/>
    <w:rsid w:val="000C360A"/>
    <w:rsid w:val="000C51E0"/>
    <w:rsid w:val="000C62A7"/>
    <w:rsid w:val="000C6F3E"/>
    <w:rsid w:val="000C74FF"/>
    <w:rsid w:val="000D0C3F"/>
    <w:rsid w:val="000D1978"/>
    <w:rsid w:val="000D2242"/>
    <w:rsid w:val="000D3974"/>
    <w:rsid w:val="000D3B9A"/>
    <w:rsid w:val="000D3CA9"/>
    <w:rsid w:val="000D63C9"/>
    <w:rsid w:val="000D6BEC"/>
    <w:rsid w:val="000D6F26"/>
    <w:rsid w:val="000E00FD"/>
    <w:rsid w:val="000E0E73"/>
    <w:rsid w:val="000E1589"/>
    <w:rsid w:val="000E2157"/>
    <w:rsid w:val="000E3924"/>
    <w:rsid w:val="000E3F18"/>
    <w:rsid w:val="000E3F21"/>
    <w:rsid w:val="000E6C13"/>
    <w:rsid w:val="000F073B"/>
    <w:rsid w:val="000F0793"/>
    <w:rsid w:val="000F7718"/>
    <w:rsid w:val="00100FD7"/>
    <w:rsid w:val="00102A4A"/>
    <w:rsid w:val="00102B5F"/>
    <w:rsid w:val="00103D01"/>
    <w:rsid w:val="00106668"/>
    <w:rsid w:val="001074C2"/>
    <w:rsid w:val="00110932"/>
    <w:rsid w:val="00111894"/>
    <w:rsid w:val="00111AC6"/>
    <w:rsid w:val="00112103"/>
    <w:rsid w:val="001128AB"/>
    <w:rsid w:val="001129B7"/>
    <w:rsid w:val="00112FD6"/>
    <w:rsid w:val="0011714E"/>
    <w:rsid w:val="0012262D"/>
    <w:rsid w:val="0012310A"/>
    <w:rsid w:val="00124A5A"/>
    <w:rsid w:val="00124BAB"/>
    <w:rsid w:val="001255CB"/>
    <w:rsid w:val="00125EF1"/>
    <w:rsid w:val="001269DE"/>
    <w:rsid w:val="0012725F"/>
    <w:rsid w:val="001311AB"/>
    <w:rsid w:val="00132BBB"/>
    <w:rsid w:val="001338F4"/>
    <w:rsid w:val="00136197"/>
    <w:rsid w:val="0013785B"/>
    <w:rsid w:val="00137ADE"/>
    <w:rsid w:val="001401C4"/>
    <w:rsid w:val="001403D6"/>
    <w:rsid w:val="001416B1"/>
    <w:rsid w:val="00141EBB"/>
    <w:rsid w:val="001455D1"/>
    <w:rsid w:val="001457F1"/>
    <w:rsid w:val="00146F77"/>
    <w:rsid w:val="00147E91"/>
    <w:rsid w:val="00152617"/>
    <w:rsid w:val="00152872"/>
    <w:rsid w:val="00153305"/>
    <w:rsid w:val="00153BB4"/>
    <w:rsid w:val="00154AD2"/>
    <w:rsid w:val="00155135"/>
    <w:rsid w:val="001556BF"/>
    <w:rsid w:val="00155AFC"/>
    <w:rsid w:val="001568C6"/>
    <w:rsid w:val="00160BB0"/>
    <w:rsid w:val="001612BD"/>
    <w:rsid w:val="0016539F"/>
    <w:rsid w:val="001660D4"/>
    <w:rsid w:val="00166550"/>
    <w:rsid w:val="0016710D"/>
    <w:rsid w:val="00167416"/>
    <w:rsid w:val="001706AC"/>
    <w:rsid w:val="00170C86"/>
    <w:rsid w:val="0017193E"/>
    <w:rsid w:val="00174CE6"/>
    <w:rsid w:val="001767FE"/>
    <w:rsid w:val="001803C3"/>
    <w:rsid w:val="00180C11"/>
    <w:rsid w:val="00180C2F"/>
    <w:rsid w:val="00183410"/>
    <w:rsid w:val="00184157"/>
    <w:rsid w:val="0018462A"/>
    <w:rsid w:val="00185285"/>
    <w:rsid w:val="0018566E"/>
    <w:rsid w:val="00186100"/>
    <w:rsid w:val="0018674D"/>
    <w:rsid w:val="00190BAD"/>
    <w:rsid w:val="00193548"/>
    <w:rsid w:val="00194C58"/>
    <w:rsid w:val="00195303"/>
    <w:rsid w:val="00195556"/>
    <w:rsid w:val="00196A5A"/>
    <w:rsid w:val="00196CBA"/>
    <w:rsid w:val="001973F7"/>
    <w:rsid w:val="001A17F2"/>
    <w:rsid w:val="001A3F83"/>
    <w:rsid w:val="001A43E0"/>
    <w:rsid w:val="001A4FE3"/>
    <w:rsid w:val="001A7550"/>
    <w:rsid w:val="001A79BE"/>
    <w:rsid w:val="001B11E5"/>
    <w:rsid w:val="001B1971"/>
    <w:rsid w:val="001B28F5"/>
    <w:rsid w:val="001B2AB6"/>
    <w:rsid w:val="001B2EA8"/>
    <w:rsid w:val="001B3046"/>
    <w:rsid w:val="001B3B04"/>
    <w:rsid w:val="001B6E37"/>
    <w:rsid w:val="001C13A1"/>
    <w:rsid w:val="001C3210"/>
    <w:rsid w:val="001C39AC"/>
    <w:rsid w:val="001C4859"/>
    <w:rsid w:val="001C48BC"/>
    <w:rsid w:val="001C69EA"/>
    <w:rsid w:val="001C6E34"/>
    <w:rsid w:val="001C70D4"/>
    <w:rsid w:val="001C7737"/>
    <w:rsid w:val="001D08AF"/>
    <w:rsid w:val="001D1EEE"/>
    <w:rsid w:val="001D37A1"/>
    <w:rsid w:val="001D3845"/>
    <w:rsid w:val="001D479F"/>
    <w:rsid w:val="001D7610"/>
    <w:rsid w:val="001E2006"/>
    <w:rsid w:val="001E552E"/>
    <w:rsid w:val="001F00A4"/>
    <w:rsid w:val="001F17FC"/>
    <w:rsid w:val="001F5FD0"/>
    <w:rsid w:val="00201AD8"/>
    <w:rsid w:val="00202C88"/>
    <w:rsid w:val="0020797A"/>
    <w:rsid w:val="00207EF9"/>
    <w:rsid w:val="0021403C"/>
    <w:rsid w:val="002163CB"/>
    <w:rsid w:val="002213C3"/>
    <w:rsid w:val="00225F0C"/>
    <w:rsid w:val="00225F1C"/>
    <w:rsid w:val="002260FD"/>
    <w:rsid w:val="002300CF"/>
    <w:rsid w:val="002301B6"/>
    <w:rsid w:val="00230BBD"/>
    <w:rsid w:val="002315E6"/>
    <w:rsid w:val="00235597"/>
    <w:rsid w:val="00237760"/>
    <w:rsid w:val="00237B12"/>
    <w:rsid w:val="00237D7B"/>
    <w:rsid w:val="002421A0"/>
    <w:rsid w:val="00244ADD"/>
    <w:rsid w:val="0024523C"/>
    <w:rsid w:val="00246AB1"/>
    <w:rsid w:val="00247004"/>
    <w:rsid w:val="0025039A"/>
    <w:rsid w:val="002509A8"/>
    <w:rsid w:val="0025339A"/>
    <w:rsid w:val="00253493"/>
    <w:rsid w:val="00253551"/>
    <w:rsid w:val="00255056"/>
    <w:rsid w:val="002554C4"/>
    <w:rsid w:val="00255886"/>
    <w:rsid w:val="002563E8"/>
    <w:rsid w:val="0025660D"/>
    <w:rsid w:val="002602DC"/>
    <w:rsid w:val="00261153"/>
    <w:rsid w:val="002618A2"/>
    <w:rsid w:val="0026349F"/>
    <w:rsid w:val="0026554B"/>
    <w:rsid w:val="00270CB6"/>
    <w:rsid w:val="0027106F"/>
    <w:rsid w:val="002722B5"/>
    <w:rsid w:val="00272E53"/>
    <w:rsid w:val="00275112"/>
    <w:rsid w:val="00276527"/>
    <w:rsid w:val="00276D51"/>
    <w:rsid w:val="0027730C"/>
    <w:rsid w:val="00277AA8"/>
    <w:rsid w:val="00280D87"/>
    <w:rsid w:val="002854A8"/>
    <w:rsid w:val="0028654B"/>
    <w:rsid w:val="00286816"/>
    <w:rsid w:val="00286916"/>
    <w:rsid w:val="00287368"/>
    <w:rsid w:val="00291768"/>
    <w:rsid w:val="00291B6F"/>
    <w:rsid w:val="0029355C"/>
    <w:rsid w:val="00296020"/>
    <w:rsid w:val="00296606"/>
    <w:rsid w:val="00296D6B"/>
    <w:rsid w:val="002A00B2"/>
    <w:rsid w:val="002A364C"/>
    <w:rsid w:val="002A3FEA"/>
    <w:rsid w:val="002A5BF5"/>
    <w:rsid w:val="002B29E4"/>
    <w:rsid w:val="002B3890"/>
    <w:rsid w:val="002B394E"/>
    <w:rsid w:val="002B4CEE"/>
    <w:rsid w:val="002B50CB"/>
    <w:rsid w:val="002B7753"/>
    <w:rsid w:val="002C2ECF"/>
    <w:rsid w:val="002C395B"/>
    <w:rsid w:val="002C453C"/>
    <w:rsid w:val="002C489C"/>
    <w:rsid w:val="002C4929"/>
    <w:rsid w:val="002D0C56"/>
    <w:rsid w:val="002D2865"/>
    <w:rsid w:val="002D5576"/>
    <w:rsid w:val="002D5633"/>
    <w:rsid w:val="002D69AC"/>
    <w:rsid w:val="002D7325"/>
    <w:rsid w:val="002D7575"/>
    <w:rsid w:val="002D7A33"/>
    <w:rsid w:val="002E36FE"/>
    <w:rsid w:val="002E42C8"/>
    <w:rsid w:val="002E6251"/>
    <w:rsid w:val="002F11C4"/>
    <w:rsid w:val="002F1B0B"/>
    <w:rsid w:val="002F3321"/>
    <w:rsid w:val="002F56C3"/>
    <w:rsid w:val="00300EE0"/>
    <w:rsid w:val="0030247C"/>
    <w:rsid w:val="003034C0"/>
    <w:rsid w:val="003070FD"/>
    <w:rsid w:val="00310FA9"/>
    <w:rsid w:val="00312312"/>
    <w:rsid w:val="00312B2A"/>
    <w:rsid w:val="00313EB8"/>
    <w:rsid w:val="00316030"/>
    <w:rsid w:val="00317CE0"/>
    <w:rsid w:val="003225EF"/>
    <w:rsid w:val="00322855"/>
    <w:rsid w:val="0032392C"/>
    <w:rsid w:val="00325624"/>
    <w:rsid w:val="00325C2F"/>
    <w:rsid w:val="003274BC"/>
    <w:rsid w:val="003276AB"/>
    <w:rsid w:val="003277DC"/>
    <w:rsid w:val="00327AEE"/>
    <w:rsid w:val="003314C0"/>
    <w:rsid w:val="00332138"/>
    <w:rsid w:val="00334F0D"/>
    <w:rsid w:val="00336DCB"/>
    <w:rsid w:val="00340558"/>
    <w:rsid w:val="00341601"/>
    <w:rsid w:val="00342E00"/>
    <w:rsid w:val="0034717F"/>
    <w:rsid w:val="00350D09"/>
    <w:rsid w:val="00350D38"/>
    <w:rsid w:val="00350D5E"/>
    <w:rsid w:val="003513A5"/>
    <w:rsid w:val="00352195"/>
    <w:rsid w:val="00352211"/>
    <w:rsid w:val="00352E7D"/>
    <w:rsid w:val="003534F5"/>
    <w:rsid w:val="003573EB"/>
    <w:rsid w:val="003602C4"/>
    <w:rsid w:val="00360645"/>
    <w:rsid w:val="0036088E"/>
    <w:rsid w:val="00360917"/>
    <w:rsid w:val="00360EB6"/>
    <w:rsid w:val="00361075"/>
    <w:rsid w:val="00361918"/>
    <w:rsid w:val="003641A7"/>
    <w:rsid w:val="00364A3E"/>
    <w:rsid w:val="00364C27"/>
    <w:rsid w:val="00367669"/>
    <w:rsid w:val="00372D20"/>
    <w:rsid w:val="003753F5"/>
    <w:rsid w:val="00376B98"/>
    <w:rsid w:val="003773BD"/>
    <w:rsid w:val="0038115C"/>
    <w:rsid w:val="0038224F"/>
    <w:rsid w:val="003824EA"/>
    <w:rsid w:val="00382F07"/>
    <w:rsid w:val="0038502A"/>
    <w:rsid w:val="00387B0E"/>
    <w:rsid w:val="00387DED"/>
    <w:rsid w:val="003909B9"/>
    <w:rsid w:val="00391375"/>
    <w:rsid w:val="00393405"/>
    <w:rsid w:val="003945B5"/>
    <w:rsid w:val="0039603F"/>
    <w:rsid w:val="0039698C"/>
    <w:rsid w:val="00396CBF"/>
    <w:rsid w:val="00396D43"/>
    <w:rsid w:val="003A01D6"/>
    <w:rsid w:val="003A140C"/>
    <w:rsid w:val="003A23B4"/>
    <w:rsid w:val="003A3EF2"/>
    <w:rsid w:val="003A44F5"/>
    <w:rsid w:val="003A4B70"/>
    <w:rsid w:val="003A50D4"/>
    <w:rsid w:val="003A729C"/>
    <w:rsid w:val="003A73DF"/>
    <w:rsid w:val="003A74B2"/>
    <w:rsid w:val="003B2822"/>
    <w:rsid w:val="003B2FD7"/>
    <w:rsid w:val="003B42B2"/>
    <w:rsid w:val="003B488E"/>
    <w:rsid w:val="003B498C"/>
    <w:rsid w:val="003B56F1"/>
    <w:rsid w:val="003B5BE7"/>
    <w:rsid w:val="003B75BA"/>
    <w:rsid w:val="003B7FD9"/>
    <w:rsid w:val="003C16DB"/>
    <w:rsid w:val="003C192C"/>
    <w:rsid w:val="003C293A"/>
    <w:rsid w:val="003C3F3B"/>
    <w:rsid w:val="003C437A"/>
    <w:rsid w:val="003C6BDC"/>
    <w:rsid w:val="003C7690"/>
    <w:rsid w:val="003C7A95"/>
    <w:rsid w:val="003D1F08"/>
    <w:rsid w:val="003D39F8"/>
    <w:rsid w:val="003D4E0C"/>
    <w:rsid w:val="003D64BE"/>
    <w:rsid w:val="003D6CB0"/>
    <w:rsid w:val="003D7A69"/>
    <w:rsid w:val="003E0B2D"/>
    <w:rsid w:val="003E34D4"/>
    <w:rsid w:val="003E3CB8"/>
    <w:rsid w:val="003E4419"/>
    <w:rsid w:val="003E4C7C"/>
    <w:rsid w:val="003E5464"/>
    <w:rsid w:val="003E72D9"/>
    <w:rsid w:val="003F1462"/>
    <w:rsid w:val="003F15DE"/>
    <w:rsid w:val="004003EE"/>
    <w:rsid w:val="00400D5C"/>
    <w:rsid w:val="004059F4"/>
    <w:rsid w:val="00407111"/>
    <w:rsid w:val="00410121"/>
    <w:rsid w:val="004108D3"/>
    <w:rsid w:val="004113A0"/>
    <w:rsid w:val="00412658"/>
    <w:rsid w:val="0041326F"/>
    <w:rsid w:val="00416322"/>
    <w:rsid w:val="004167D0"/>
    <w:rsid w:val="00416DBB"/>
    <w:rsid w:val="004174CB"/>
    <w:rsid w:val="004201F0"/>
    <w:rsid w:val="00421557"/>
    <w:rsid w:val="00421618"/>
    <w:rsid w:val="004217E8"/>
    <w:rsid w:val="004235BB"/>
    <w:rsid w:val="00424CF3"/>
    <w:rsid w:val="004269E4"/>
    <w:rsid w:val="00426C7C"/>
    <w:rsid w:val="0042711C"/>
    <w:rsid w:val="0042794D"/>
    <w:rsid w:val="00427DB7"/>
    <w:rsid w:val="00433C64"/>
    <w:rsid w:val="00434401"/>
    <w:rsid w:val="00436132"/>
    <w:rsid w:val="00436EFA"/>
    <w:rsid w:val="004370DE"/>
    <w:rsid w:val="00437E8F"/>
    <w:rsid w:val="0044085A"/>
    <w:rsid w:val="00441017"/>
    <w:rsid w:val="00442C6F"/>
    <w:rsid w:val="00443837"/>
    <w:rsid w:val="00444201"/>
    <w:rsid w:val="00445394"/>
    <w:rsid w:val="004468BF"/>
    <w:rsid w:val="00446AEE"/>
    <w:rsid w:val="004473D5"/>
    <w:rsid w:val="00447903"/>
    <w:rsid w:val="00450B05"/>
    <w:rsid w:val="00451B1B"/>
    <w:rsid w:val="00453A02"/>
    <w:rsid w:val="004544F0"/>
    <w:rsid w:val="00454EA0"/>
    <w:rsid w:val="00455F04"/>
    <w:rsid w:val="00457AC5"/>
    <w:rsid w:val="00460D05"/>
    <w:rsid w:val="00462BBF"/>
    <w:rsid w:val="00464299"/>
    <w:rsid w:val="0046439D"/>
    <w:rsid w:val="00464EDA"/>
    <w:rsid w:val="00470FA0"/>
    <w:rsid w:val="00475422"/>
    <w:rsid w:val="00475ED6"/>
    <w:rsid w:val="00476AE5"/>
    <w:rsid w:val="004776CC"/>
    <w:rsid w:val="00480560"/>
    <w:rsid w:val="00480D98"/>
    <w:rsid w:val="004823B5"/>
    <w:rsid w:val="004830A0"/>
    <w:rsid w:val="00484EC0"/>
    <w:rsid w:val="00486B19"/>
    <w:rsid w:val="00487602"/>
    <w:rsid w:val="00490F31"/>
    <w:rsid w:val="00492555"/>
    <w:rsid w:val="0049284E"/>
    <w:rsid w:val="00493B05"/>
    <w:rsid w:val="00493C29"/>
    <w:rsid w:val="00493C56"/>
    <w:rsid w:val="004A0123"/>
    <w:rsid w:val="004A161A"/>
    <w:rsid w:val="004A1CC3"/>
    <w:rsid w:val="004A25DA"/>
    <w:rsid w:val="004A3A62"/>
    <w:rsid w:val="004A3B33"/>
    <w:rsid w:val="004A511B"/>
    <w:rsid w:val="004A579D"/>
    <w:rsid w:val="004A5FF0"/>
    <w:rsid w:val="004B006C"/>
    <w:rsid w:val="004B3094"/>
    <w:rsid w:val="004B3115"/>
    <w:rsid w:val="004B6F8F"/>
    <w:rsid w:val="004B7069"/>
    <w:rsid w:val="004B710B"/>
    <w:rsid w:val="004B772E"/>
    <w:rsid w:val="004B7F07"/>
    <w:rsid w:val="004C06E5"/>
    <w:rsid w:val="004C0F9D"/>
    <w:rsid w:val="004C4463"/>
    <w:rsid w:val="004C5497"/>
    <w:rsid w:val="004C56F4"/>
    <w:rsid w:val="004C5DF4"/>
    <w:rsid w:val="004D1BEC"/>
    <w:rsid w:val="004D1FC0"/>
    <w:rsid w:val="004D2752"/>
    <w:rsid w:val="004D2B94"/>
    <w:rsid w:val="004D36FD"/>
    <w:rsid w:val="004D48AF"/>
    <w:rsid w:val="004D5896"/>
    <w:rsid w:val="004D5D4F"/>
    <w:rsid w:val="004D7278"/>
    <w:rsid w:val="004D7364"/>
    <w:rsid w:val="004D76CE"/>
    <w:rsid w:val="004E0CD7"/>
    <w:rsid w:val="004E2D2D"/>
    <w:rsid w:val="004E3476"/>
    <w:rsid w:val="004E5AA8"/>
    <w:rsid w:val="004F0727"/>
    <w:rsid w:val="004F1FAC"/>
    <w:rsid w:val="004F37BF"/>
    <w:rsid w:val="004F3D97"/>
    <w:rsid w:val="004F66EE"/>
    <w:rsid w:val="004F73E0"/>
    <w:rsid w:val="004F7E6D"/>
    <w:rsid w:val="00502989"/>
    <w:rsid w:val="00503729"/>
    <w:rsid w:val="005037B8"/>
    <w:rsid w:val="00505A40"/>
    <w:rsid w:val="00506645"/>
    <w:rsid w:val="00510974"/>
    <w:rsid w:val="00514685"/>
    <w:rsid w:val="0051523B"/>
    <w:rsid w:val="00515494"/>
    <w:rsid w:val="00516AC2"/>
    <w:rsid w:val="00520422"/>
    <w:rsid w:val="0052307E"/>
    <w:rsid w:val="00523142"/>
    <w:rsid w:val="00524B08"/>
    <w:rsid w:val="00525A6A"/>
    <w:rsid w:val="00525D68"/>
    <w:rsid w:val="005265BE"/>
    <w:rsid w:val="00526E6A"/>
    <w:rsid w:val="00527C3B"/>
    <w:rsid w:val="00533AF1"/>
    <w:rsid w:val="00533C96"/>
    <w:rsid w:val="00533E54"/>
    <w:rsid w:val="00533FAE"/>
    <w:rsid w:val="0053665D"/>
    <w:rsid w:val="00540B67"/>
    <w:rsid w:val="0054186F"/>
    <w:rsid w:val="005419C0"/>
    <w:rsid w:val="00542FA1"/>
    <w:rsid w:val="005437C0"/>
    <w:rsid w:val="00545458"/>
    <w:rsid w:val="00546A28"/>
    <w:rsid w:val="005530AD"/>
    <w:rsid w:val="005537A0"/>
    <w:rsid w:val="00553C24"/>
    <w:rsid w:val="005578D9"/>
    <w:rsid w:val="0056158A"/>
    <w:rsid w:val="00562AF1"/>
    <w:rsid w:val="00564BC3"/>
    <w:rsid w:val="005663BF"/>
    <w:rsid w:val="00566BB1"/>
    <w:rsid w:val="005675D2"/>
    <w:rsid w:val="00571517"/>
    <w:rsid w:val="00572BCD"/>
    <w:rsid w:val="00573F86"/>
    <w:rsid w:val="00574788"/>
    <w:rsid w:val="00574BFA"/>
    <w:rsid w:val="00575738"/>
    <w:rsid w:val="005758BF"/>
    <w:rsid w:val="00575CA3"/>
    <w:rsid w:val="00576E2C"/>
    <w:rsid w:val="005770C9"/>
    <w:rsid w:val="00581362"/>
    <w:rsid w:val="005816B6"/>
    <w:rsid w:val="005833C6"/>
    <w:rsid w:val="005879DD"/>
    <w:rsid w:val="00590406"/>
    <w:rsid w:val="00591621"/>
    <w:rsid w:val="00594B9C"/>
    <w:rsid w:val="005964D4"/>
    <w:rsid w:val="0059668C"/>
    <w:rsid w:val="005A00CC"/>
    <w:rsid w:val="005A3DEB"/>
    <w:rsid w:val="005A5630"/>
    <w:rsid w:val="005A5B10"/>
    <w:rsid w:val="005A70CE"/>
    <w:rsid w:val="005B06E3"/>
    <w:rsid w:val="005B0E3E"/>
    <w:rsid w:val="005B0F73"/>
    <w:rsid w:val="005B1026"/>
    <w:rsid w:val="005B23B5"/>
    <w:rsid w:val="005B2992"/>
    <w:rsid w:val="005B4BF3"/>
    <w:rsid w:val="005B5096"/>
    <w:rsid w:val="005B55E0"/>
    <w:rsid w:val="005B712E"/>
    <w:rsid w:val="005C319A"/>
    <w:rsid w:val="005C3A9B"/>
    <w:rsid w:val="005C4199"/>
    <w:rsid w:val="005C5AC3"/>
    <w:rsid w:val="005C6059"/>
    <w:rsid w:val="005C60D6"/>
    <w:rsid w:val="005C63D7"/>
    <w:rsid w:val="005C6CFB"/>
    <w:rsid w:val="005C6DBC"/>
    <w:rsid w:val="005D0985"/>
    <w:rsid w:val="005D11FD"/>
    <w:rsid w:val="005D12AB"/>
    <w:rsid w:val="005D20EF"/>
    <w:rsid w:val="005D46EB"/>
    <w:rsid w:val="005D4A79"/>
    <w:rsid w:val="005D54ED"/>
    <w:rsid w:val="005D5EED"/>
    <w:rsid w:val="005D780F"/>
    <w:rsid w:val="005D7872"/>
    <w:rsid w:val="005E11A2"/>
    <w:rsid w:val="005E195E"/>
    <w:rsid w:val="005E1C43"/>
    <w:rsid w:val="005E25CF"/>
    <w:rsid w:val="005E31B6"/>
    <w:rsid w:val="005E3863"/>
    <w:rsid w:val="005E51C5"/>
    <w:rsid w:val="005E74EF"/>
    <w:rsid w:val="005F0ED5"/>
    <w:rsid w:val="005F4A49"/>
    <w:rsid w:val="005F4BD1"/>
    <w:rsid w:val="005F6342"/>
    <w:rsid w:val="00600682"/>
    <w:rsid w:val="00600E10"/>
    <w:rsid w:val="00601A96"/>
    <w:rsid w:val="006025D5"/>
    <w:rsid w:val="00603BA7"/>
    <w:rsid w:val="00605F7D"/>
    <w:rsid w:val="00606158"/>
    <w:rsid w:val="00606555"/>
    <w:rsid w:val="00606A1A"/>
    <w:rsid w:val="00606AD0"/>
    <w:rsid w:val="0060765E"/>
    <w:rsid w:val="00611862"/>
    <w:rsid w:val="00612479"/>
    <w:rsid w:val="0061404E"/>
    <w:rsid w:val="0061749A"/>
    <w:rsid w:val="00617C53"/>
    <w:rsid w:val="006218F8"/>
    <w:rsid w:val="0062527D"/>
    <w:rsid w:val="006310EF"/>
    <w:rsid w:val="006316AB"/>
    <w:rsid w:val="0063279D"/>
    <w:rsid w:val="00633C97"/>
    <w:rsid w:val="006349D0"/>
    <w:rsid w:val="006359E6"/>
    <w:rsid w:val="00637C80"/>
    <w:rsid w:val="00640BDD"/>
    <w:rsid w:val="00641FC8"/>
    <w:rsid w:val="00642114"/>
    <w:rsid w:val="00642637"/>
    <w:rsid w:val="00643972"/>
    <w:rsid w:val="00645666"/>
    <w:rsid w:val="006466C9"/>
    <w:rsid w:val="00652212"/>
    <w:rsid w:val="00654386"/>
    <w:rsid w:val="00655390"/>
    <w:rsid w:val="00657137"/>
    <w:rsid w:val="00657F03"/>
    <w:rsid w:val="00657FA3"/>
    <w:rsid w:val="0066065E"/>
    <w:rsid w:val="006617DD"/>
    <w:rsid w:val="0066193A"/>
    <w:rsid w:val="0066226E"/>
    <w:rsid w:val="0066254E"/>
    <w:rsid w:val="00662935"/>
    <w:rsid w:val="00663C31"/>
    <w:rsid w:val="00665865"/>
    <w:rsid w:val="006665CC"/>
    <w:rsid w:val="00670589"/>
    <w:rsid w:val="0067238F"/>
    <w:rsid w:val="0067334C"/>
    <w:rsid w:val="00674D04"/>
    <w:rsid w:val="006752C8"/>
    <w:rsid w:val="00675EEE"/>
    <w:rsid w:val="00676E70"/>
    <w:rsid w:val="00682218"/>
    <w:rsid w:val="00683B58"/>
    <w:rsid w:val="006840CE"/>
    <w:rsid w:val="0068576E"/>
    <w:rsid w:val="006857AD"/>
    <w:rsid w:val="00685FAA"/>
    <w:rsid w:val="00686844"/>
    <w:rsid w:val="006878B9"/>
    <w:rsid w:val="00687D8E"/>
    <w:rsid w:val="00687E9A"/>
    <w:rsid w:val="00690C73"/>
    <w:rsid w:val="00693140"/>
    <w:rsid w:val="00693D51"/>
    <w:rsid w:val="00694722"/>
    <w:rsid w:val="00694A32"/>
    <w:rsid w:val="00695355"/>
    <w:rsid w:val="0069561F"/>
    <w:rsid w:val="00695ADA"/>
    <w:rsid w:val="006963EA"/>
    <w:rsid w:val="006A6440"/>
    <w:rsid w:val="006A7813"/>
    <w:rsid w:val="006B0111"/>
    <w:rsid w:val="006B071C"/>
    <w:rsid w:val="006B195C"/>
    <w:rsid w:val="006B2991"/>
    <w:rsid w:val="006B4B72"/>
    <w:rsid w:val="006B5891"/>
    <w:rsid w:val="006B60C2"/>
    <w:rsid w:val="006B676C"/>
    <w:rsid w:val="006C146C"/>
    <w:rsid w:val="006C4522"/>
    <w:rsid w:val="006C5B1C"/>
    <w:rsid w:val="006D0C26"/>
    <w:rsid w:val="006D153D"/>
    <w:rsid w:val="006D282A"/>
    <w:rsid w:val="006D3A1F"/>
    <w:rsid w:val="006D411C"/>
    <w:rsid w:val="006D434A"/>
    <w:rsid w:val="006D4E94"/>
    <w:rsid w:val="006D59EC"/>
    <w:rsid w:val="006D6440"/>
    <w:rsid w:val="006D6778"/>
    <w:rsid w:val="006E0C4F"/>
    <w:rsid w:val="006E0E7C"/>
    <w:rsid w:val="006E1233"/>
    <w:rsid w:val="006E1E9A"/>
    <w:rsid w:val="006E2A01"/>
    <w:rsid w:val="006E3891"/>
    <w:rsid w:val="006E44B4"/>
    <w:rsid w:val="006E4731"/>
    <w:rsid w:val="006E59B1"/>
    <w:rsid w:val="006E5ACD"/>
    <w:rsid w:val="006E5B1D"/>
    <w:rsid w:val="006E6D50"/>
    <w:rsid w:val="006E715A"/>
    <w:rsid w:val="006F031D"/>
    <w:rsid w:val="006F1245"/>
    <w:rsid w:val="006F26B0"/>
    <w:rsid w:val="006F37F8"/>
    <w:rsid w:val="006F4813"/>
    <w:rsid w:val="006F4A24"/>
    <w:rsid w:val="006F5593"/>
    <w:rsid w:val="006F7CB2"/>
    <w:rsid w:val="00700B4B"/>
    <w:rsid w:val="00700CAA"/>
    <w:rsid w:val="00700F2D"/>
    <w:rsid w:val="00701D86"/>
    <w:rsid w:val="00701E97"/>
    <w:rsid w:val="00702DC6"/>
    <w:rsid w:val="00702EC4"/>
    <w:rsid w:val="007057EC"/>
    <w:rsid w:val="0071084E"/>
    <w:rsid w:val="00711B9D"/>
    <w:rsid w:val="00713ACA"/>
    <w:rsid w:val="00715420"/>
    <w:rsid w:val="00715AAD"/>
    <w:rsid w:val="00720C09"/>
    <w:rsid w:val="00721653"/>
    <w:rsid w:val="00722FA5"/>
    <w:rsid w:val="007231CA"/>
    <w:rsid w:val="007320DA"/>
    <w:rsid w:val="00735685"/>
    <w:rsid w:val="007403F0"/>
    <w:rsid w:val="00740564"/>
    <w:rsid w:val="007424C0"/>
    <w:rsid w:val="007447FC"/>
    <w:rsid w:val="00745596"/>
    <w:rsid w:val="00745DAF"/>
    <w:rsid w:val="00745E97"/>
    <w:rsid w:val="0075123A"/>
    <w:rsid w:val="007526BB"/>
    <w:rsid w:val="00752A6E"/>
    <w:rsid w:val="00753EC6"/>
    <w:rsid w:val="00755891"/>
    <w:rsid w:val="00756901"/>
    <w:rsid w:val="007600A9"/>
    <w:rsid w:val="007601A3"/>
    <w:rsid w:val="00761B7F"/>
    <w:rsid w:val="00762A5C"/>
    <w:rsid w:val="007640DB"/>
    <w:rsid w:val="0076655F"/>
    <w:rsid w:val="00766798"/>
    <w:rsid w:val="00766EF1"/>
    <w:rsid w:val="0077243A"/>
    <w:rsid w:val="0077265A"/>
    <w:rsid w:val="00772AC5"/>
    <w:rsid w:val="0077519D"/>
    <w:rsid w:val="00777766"/>
    <w:rsid w:val="00780250"/>
    <w:rsid w:val="0078416D"/>
    <w:rsid w:val="00784BC2"/>
    <w:rsid w:val="00786241"/>
    <w:rsid w:val="00786C41"/>
    <w:rsid w:val="00787B04"/>
    <w:rsid w:val="00790988"/>
    <w:rsid w:val="00793E38"/>
    <w:rsid w:val="00794450"/>
    <w:rsid w:val="007962FD"/>
    <w:rsid w:val="007A04ED"/>
    <w:rsid w:val="007A36BD"/>
    <w:rsid w:val="007A4023"/>
    <w:rsid w:val="007A424A"/>
    <w:rsid w:val="007A4A9E"/>
    <w:rsid w:val="007A4E98"/>
    <w:rsid w:val="007A5971"/>
    <w:rsid w:val="007A5FAE"/>
    <w:rsid w:val="007A6A29"/>
    <w:rsid w:val="007A6D9B"/>
    <w:rsid w:val="007A76EC"/>
    <w:rsid w:val="007A795E"/>
    <w:rsid w:val="007B04AA"/>
    <w:rsid w:val="007B11A1"/>
    <w:rsid w:val="007B14EB"/>
    <w:rsid w:val="007B5D69"/>
    <w:rsid w:val="007C0AA1"/>
    <w:rsid w:val="007C0C34"/>
    <w:rsid w:val="007C1096"/>
    <w:rsid w:val="007C1EB4"/>
    <w:rsid w:val="007C37A7"/>
    <w:rsid w:val="007D12A3"/>
    <w:rsid w:val="007D3D51"/>
    <w:rsid w:val="007D4813"/>
    <w:rsid w:val="007D4AA4"/>
    <w:rsid w:val="007E0667"/>
    <w:rsid w:val="007E1345"/>
    <w:rsid w:val="007E1C7B"/>
    <w:rsid w:val="007E1D4D"/>
    <w:rsid w:val="007E3009"/>
    <w:rsid w:val="007E3148"/>
    <w:rsid w:val="007E3D30"/>
    <w:rsid w:val="007E6A2F"/>
    <w:rsid w:val="007E6E14"/>
    <w:rsid w:val="007F00EF"/>
    <w:rsid w:val="007F0276"/>
    <w:rsid w:val="007F32B2"/>
    <w:rsid w:val="007F60BD"/>
    <w:rsid w:val="007F6F2A"/>
    <w:rsid w:val="008004A1"/>
    <w:rsid w:val="00800B66"/>
    <w:rsid w:val="008012D5"/>
    <w:rsid w:val="00801AEE"/>
    <w:rsid w:val="00803238"/>
    <w:rsid w:val="00803F20"/>
    <w:rsid w:val="00807382"/>
    <w:rsid w:val="008127D5"/>
    <w:rsid w:val="0081298E"/>
    <w:rsid w:val="00812EF4"/>
    <w:rsid w:val="00813217"/>
    <w:rsid w:val="00816466"/>
    <w:rsid w:val="00817A83"/>
    <w:rsid w:val="008231DF"/>
    <w:rsid w:val="00823461"/>
    <w:rsid w:val="00823483"/>
    <w:rsid w:val="00824D7E"/>
    <w:rsid w:val="0082750D"/>
    <w:rsid w:val="00832711"/>
    <w:rsid w:val="008328B7"/>
    <w:rsid w:val="00832EC6"/>
    <w:rsid w:val="0083671E"/>
    <w:rsid w:val="008367C4"/>
    <w:rsid w:val="0084206C"/>
    <w:rsid w:val="0084418C"/>
    <w:rsid w:val="00845A30"/>
    <w:rsid w:val="00846498"/>
    <w:rsid w:val="00846C45"/>
    <w:rsid w:val="00853CCA"/>
    <w:rsid w:val="00854AFC"/>
    <w:rsid w:val="008577EF"/>
    <w:rsid w:val="00860478"/>
    <w:rsid w:val="0086316A"/>
    <w:rsid w:val="00865822"/>
    <w:rsid w:val="00865DE3"/>
    <w:rsid w:val="00870B62"/>
    <w:rsid w:val="00871235"/>
    <w:rsid w:val="008728D5"/>
    <w:rsid w:val="00873C54"/>
    <w:rsid w:val="00873FEA"/>
    <w:rsid w:val="008762E8"/>
    <w:rsid w:val="008771AE"/>
    <w:rsid w:val="00877F5F"/>
    <w:rsid w:val="008808D6"/>
    <w:rsid w:val="008811D0"/>
    <w:rsid w:val="008827EE"/>
    <w:rsid w:val="0088317D"/>
    <w:rsid w:val="00883599"/>
    <w:rsid w:val="00884CE1"/>
    <w:rsid w:val="008862EB"/>
    <w:rsid w:val="00886A5A"/>
    <w:rsid w:val="00887B5D"/>
    <w:rsid w:val="00887D98"/>
    <w:rsid w:val="0089442E"/>
    <w:rsid w:val="00895624"/>
    <w:rsid w:val="00897ECA"/>
    <w:rsid w:val="008A0D54"/>
    <w:rsid w:val="008A146F"/>
    <w:rsid w:val="008A1B72"/>
    <w:rsid w:val="008A34F4"/>
    <w:rsid w:val="008A453A"/>
    <w:rsid w:val="008A4C83"/>
    <w:rsid w:val="008A5FE7"/>
    <w:rsid w:val="008B0662"/>
    <w:rsid w:val="008B2A4C"/>
    <w:rsid w:val="008B33E4"/>
    <w:rsid w:val="008B39AB"/>
    <w:rsid w:val="008B3BB4"/>
    <w:rsid w:val="008B48CB"/>
    <w:rsid w:val="008C0487"/>
    <w:rsid w:val="008C170C"/>
    <w:rsid w:val="008C222B"/>
    <w:rsid w:val="008C241B"/>
    <w:rsid w:val="008C2C63"/>
    <w:rsid w:val="008C5456"/>
    <w:rsid w:val="008D0962"/>
    <w:rsid w:val="008D0BD5"/>
    <w:rsid w:val="008D1E6B"/>
    <w:rsid w:val="008D35BD"/>
    <w:rsid w:val="008D473C"/>
    <w:rsid w:val="008D4B82"/>
    <w:rsid w:val="008D5E52"/>
    <w:rsid w:val="008D7756"/>
    <w:rsid w:val="008D78EB"/>
    <w:rsid w:val="008E1C3B"/>
    <w:rsid w:val="008E4C21"/>
    <w:rsid w:val="008E61F9"/>
    <w:rsid w:val="008E7EE1"/>
    <w:rsid w:val="008F10C7"/>
    <w:rsid w:val="008F371A"/>
    <w:rsid w:val="008F3F00"/>
    <w:rsid w:val="008F6A4E"/>
    <w:rsid w:val="008F7FCE"/>
    <w:rsid w:val="0090183C"/>
    <w:rsid w:val="0090210C"/>
    <w:rsid w:val="00902F99"/>
    <w:rsid w:val="0090309B"/>
    <w:rsid w:val="009034E4"/>
    <w:rsid w:val="009046CD"/>
    <w:rsid w:val="00904A79"/>
    <w:rsid w:val="00905D4C"/>
    <w:rsid w:val="00906856"/>
    <w:rsid w:val="00910A63"/>
    <w:rsid w:val="009126D5"/>
    <w:rsid w:val="009136BC"/>
    <w:rsid w:val="009138E0"/>
    <w:rsid w:val="00915C86"/>
    <w:rsid w:val="009160DC"/>
    <w:rsid w:val="009165F6"/>
    <w:rsid w:val="0091775B"/>
    <w:rsid w:val="00917BA5"/>
    <w:rsid w:val="00920309"/>
    <w:rsid w:val="00922AA1"/>
    <w:rsid w:val="00922FE7"/>
    <w:rsid w:val="009248A2"/>
    <w:rsid w:val="00924CA9"/>
    <w:rsid w:val="0092722F"/>
    <w:rsid w:val="009276A7"/>
    <w:rsid w:val="009301E3"/>
    <w:rsid w:val="00930A5F"/>
    <w:rsid w:val="00934072"/>
    <w:rsid w:val="009351F8"/>
    <w:rsid w:val="00935D27"/>
    <w:rsid w:val="00936576"/>
    <w:rsid w:val="009367AA"/>
    <w:rsid w:val="00940A53"/>
    <w:rsid w:val="009419B4"/>
    <w:rsid w:val="00943651"/>
    <w:rsid w:val="009466FD"/>
    <w:rsid w:val="00946A57"/>
    <w:rsid w:val="00946C71"/>
    <w:rsid w:val="00946D40"/>
    <w:rsid w:val="009502B9"/>
    <w:rsid w:val="0095061A"/>
    <w:rsid w:val="00952CBF"/>
    <w:rsid w:val="0095394C"/>
    <w:rsid w:val="00953EB0"/>
    <w:rsid w:val="009544ED"/>
    <w:rsid w:val="00957254"/>
    <w:rsid w:val="00957549"/>
    <w:rsid w:val="00957785"/>
    <w:rsid w:val="009653E0"/>
    <w:rsid w:val="00965896"/>
    <w:rsid w:val="00966B73"/>
    <w:rsid w:val="0096737B"/>
    <w:rsid w:val="00967CED"/>
    <w:rsid w:val="00967DE8"/>
    <w:rsid w:val="00970392"/>
    <w:rsid w:val="00970769"/>
    <w:rsid w:val="00970EF2"/>
    <w:rsid w:val="009715BA"/>
    <w:rsid w:val="00972025"/>
    <w:rsid w:val="00972EAF"/>
    <w:rsid w:val="009755DF"/>
    <w:rsid w:val="009774F6"/>
    <w:rsid w:val="00980218"/>
    <w:rsid w:val="0098155C"/>
    <w:rsid w:val="0098281E"/>
    <w:rsid w:val="00982CE9"/>
    <w:rsid w:val="009838B8"/>
    <w:rsid w:val="00983A6D"/>
    <w:rsid w:val="00985505"/>
    <w:rsid w:val="00986BD2"/>
    <w:rsid w:val="00991316"/>
    <w:rsid w:val="0099316E"/>
    <w:rsid w:val="009967B2"/>
    <w:rsid w:val="0099792C"/>
    <w:rsid w:val="00997AE5"/>
    <w:rsid w:val="00997BC6"/>
    <w:rsid w:val="009A3400"/>
    <w:rsid w:val="009A55DF"/>
    <w:rsid w:val="009A58C8"/>
    <w:rsid w:val="009A5B1D"/>
    <w:rsid w:val="009A66BD"/>
    <w:rsid w:val="009B2592"/>
    <w:rsid w:val="009B3107"/>
    <w:rsid w:val="009B79C9"/>
    <w:rsid w:val="009B7FC5"/>
    <w:rsid w:val="009C0553"/>
    <w:rsid w:val="009C0C2F"/>
    <w:rsid w:val="009C1B3D"/>
    <w:rsid w:val="009C1D7D"/>
    <w:rsid w:val="009C28AA"/>
    <w:rsid w:val="009C2A7C"/>
    <w:rsid w:val="009C2DC9"/>
    <w:rsid w:val="009C3C26"/>
    <w:rsid w:val="009C6B7E"/>
    <w:rsid w:val="009C6CE8"/>
    <w:rsid w:val="009C6EA5"/>
    <w:rsid w:val="009D137C"/>
    <w:rsid w:val="009D13DA"/>
    <w:rsid w:val="009D155E"/>
    <w:rsid w:val="009D2F33"/>
    <w:rsid w:val="009D31B1"/>
    <w:rsid w:val="009D383C"/>
    <w:rsid w:val="009D39F8"/>
    <w:rsid w:val="009D4098"/>
    <w:rsid w:val="009D4A93"/>
    <w:rsid w:val="009D61A1"/>
    <w:rsid w:val="009D6DE6"/>
    <w:rsid w:val="009D6FC5"/>
    <w:rsid w:val="009D766F"/>
    <w:rsid w:val="009E0DEA"/>
    <w:rsid w:val="009E3F25"/>
    <w:rsid w:val="009E46CC"/>
    <w:rsid w:val="009E68BC"/>
    <w:rsid w:val="009E7E20"/>
    <w:rsid w:val="009F0034"/>
    <w:rsid w:val="009F1684"/>
    <w:rsid w:val="009F5F50"/>
    <w:rsid w:val="009F6774"/>
    <w:rsid w:val="009F6AC4"/>
    <w:rsid w:val="009F7758"/>
    <w:rsid w:val="00A003D0"/>
    <w:rsid w:val="00A00D1B"/>
    <w:rsid w:val="00A015B4"/>
    <w:rsid w:val="00A01C37"/>
    <w:rsid w:val="00A0221E"/>
    <w:rsid w:val="00A024B1"/>
    <w:rsid w:val="00A02724"/>
    <w:rsid w:val="00A02E83"/>
    <w:rsid w:val="00A032CB"/>
    <w:rsid w:val="00A0350E"/>
    <w:rsid w:val="00A040B9"/>
    <w:rsid w:val="00A0499B"/>
    <w:rsid w:val="00A076E0"/>
    <w:rsid w:val="00A11FA8"/>
    <w:rsid w:val="00A12133"/>
    <w:rsid w:val="00A131E2"/>
    <w:rsid w:val="00A14067"/>
    <w:rsid w:val="00A174EE"/>
    <w:rsid w:val="00A17883"/>
    <w:rsid w:val="00A17ADC"/>
    <w:rsid w:val="00A22314"/>
    <w:rsid w:val="00A22547"/>
    <w:rsid w:val="00A227EA"/>
    <w:rsid w:val="00A22B02"/>
    <w:rsid w:val="00A22C87"/>
    <w:rsid w:val="00A22E13"/>
    <w:rsid w:val="00A23572"/>
    <w:rsid w:val="00A246A2"/>
    <w:rsid w:val="00A2500B"/>
    <w:rsid w:val="00A30092"/>
    <w:rsid w:val="00A30903"/>
    <w:rsid w:val="00A329A5"/>
    <w:rsid w:val="00A33475"/>
    <w:rsid w:val="00A3350F"/>
    <w:rsid w:val="00A34EB2"/>
    <w:rsid w:val="00A35BD9"/>
    <w:rsid w:val="00A36BDB"/>
    <w:rsid w:val="00A36D11"/>
    <w:rsid w:val="00A3729C"/>
    <w:rsid w:val="00A420F6"/>
    <w:rsid w:val="00A434B7"/>
    <w:rsid w:val="00A44AB3"/>
    <w:rsid w:val="00A46CAC"/>
    <w:rsid w:val="00A46EE1"/>
    <w:rsid w:val="00A51FF6"/>
    <w:rsid w:val="00A535DD"/>
    <w:rsid w:val="00A53A31"/>
    <w:rsid w:val="00A5495C"/>
    <w:rsid w:val="00A55BA6"/>
    <w:rsid w:val="00A56AAD"/>
    <w:rsid w:val="00A5769F"/>
    <w:rsid w:val="00A6173B"/>
    <w:rsid w:val="00A61F5A"/>
    <w:rsid w:val="00A62C92"/>
    <w:rsid w:val="00A62DF3"/>
    <w:rsid w:val="00A62F1C"/>
    <w:rsid w:val="00A644AA"/>
    <w:rsid w:val="00A669C3"/>
    <w:rsid w:val="00A6727B"/>
    <w:rsid w:val="00A67366"/>
    <w:rsid w:val="00A67B9D"/>
    <w:rsid w:val="00A71884"/>
    <w:rsid w:val="00A72369"/>
    <w:rsid w:val="00A723E5"/>
    <w:rsid w:val="00A72B4C"/>
    <w:rsid w:val="00A74763"/>
    <w:rsid w:val="00A8002A"/>
    <w:rsid w:val="00A812AE"/>
    <w:rsid w:val="00A81F34"/>
    <w:rsid w:val="00A837C1"/>
    <w:rsid w:val="00A83E8A"/>
    <w:rsid w:val="00A85CEB"/>
    <w:rsid w:val="00A862CC"/>
    <w:rsid w:val="00A86D86"/>
    <w:rsid w:val="00A870B0"/>
    <w:rsid w:val="00A8716A"/>
    <w:rsid w:val="00A877BF"/>
    <w:rsid w:val="00A87E6E"/>
    <w:rsid w:val="00A9240A"/>
    <w:rsid w:val="00A9330C"/>
    <w:rsid w:val="00A93947"/>
    <w:rsid w:val="00AA1463"/>
    <w:rsid w:val="00AA27BD"/>
    <w:rsid w:val="00AA5354"/>
    <w:rsid w:val="00AA6C62"/>
    <w:rsid w:val="00AA747F"/>
    <w:rsid w:val="00AB0926"/>
    <w:rsid w:val="00AB29B5"/>
    <w:rsid w:val="00AB3EA3"/>
    <w:rsid w:val="00AB4D37"/>
    <w:rsid w:val="00AB5C52"/>
    <w:rsid w:val="00AB5E28"/>
    <w:rsid w:val="00AB661A"/>
    <w:rsid w:val="00AB6B55"/>
    <w:rsid w:val="00AB7417"/>
    <w:rsid w:val="00AC1372"/>
    <w:rsid w:val="00AC34F3"/>
    <w:rsid w:val="00AC61F0"/>
    <w:rsid w:val="00AC6BEC"/>
    <w:rsid w:val="00AC6EB0"/>
    <w:rsid w:val="00AC6FE4"/>
    <w:rsid w:val="00AC74BF"/>
    <w:rsid w:val="00AC75C2"/>
    <w:rsid w:val="00AC7B4A"/>
    <w:rsid w:val="00AD0A3B"/>
    <w:rsid w:val="00AD0E26"/>
    <w:rsid w:val="00AD21B1"/>
    <w:rsid w:val="00AD34FC"/>
    <w:rsid w:val="00AD54CB"/>
    <w:rsid w:val="00AD6AD2"/>
    <w:rsid w:val="00AD788E"/>
    <w:rsid w:val="00AD7D22"/>
    <w:rsid w:val="00AE0F4F"/>
    <w:rsid w:val="00AE3EDE"/>
    <w:rsid w:val="00AE57C5"/>
    <w:rsid w:val="00AE65E2"/>
    <w:rsid w:val="00AE664B"/>
    <w:rsid w:val="00AE6BA4"/>
    <w:rsid w:val="00AE7ECF"/>
    <w:rsid w:val="00AF07D1"/>
    <w:rsid w:val="00AF18E0"/>
    <w:rsid w:val="00AF28C9"/>
    <w:rsid w:val="00AF358F"/>
    <w:rsid w:val="00AF3CD2"/>
    <w:rsid w:val="00AF5B7B"/>
    <w:rsid w:val="00AF6E51"/>
    <w:rsid w:val="00B004EB"/>
    <w:rsid w:val="00B0089D"/>
    <w:rsid w:val="00B01266"/>
    <w:rsid w:val="00B02F1E"/>
    <w:rsid w:val="00B043CB"/>
    <w:rsid w:val="00B045AA"/>
    <w:rsid w:val="00B04DB3"/>
    <w:rsid w:val="00B0720D"/>
    <w:rsid w:val="00B07729"/>
    <w:rsid w:val="00B07F61"/>
    <w:rsid w:val="00B12636"/>
    <w:rsid w:val="00B13200"/>
    <w:rsid w:val="00B15275"/>
    <w:rsid w:val="00B17882"/>
    <w:rsid w:val="00B2164E"/>
    <w:rsid w:val="00B21F20"/>
    <w:rsid w:val="00B243A7"/>
    <w:rsid w:val="00B24529"/>
    <w:rsid w:val="00B26909"/>
    <w:rsid w:val="00B30B36"/>
    <w:rsid w:val="00B319B2"/>
    <w:rsid w:val="00B3298A"/>
    <w:rsid w:val="00B35D5A"/>
    <w:rsid w:val="00B363C6"/>
    <w:rsid w:val="00B40387"/>
    <w:rsid w:val="00B4085A"/>
    <w:rsid w:val="00B42266"/>
    <w:rsid w:val="00B43806"/>
    <w:rsid w:val="00B464B0"/>
    <w:rsid w:val="00B46F2E"/>
    <w:rsid w:val="00B502B9"/>
    <w:rsid w:val="00B514B6"/>
    <w:rsid w:val="00B52799"/>
    <w:rsid w:val="00B5316C"/>
    <w:rsid w:val="00B569BC"/>
    <w:rsid w:val="00B56F7C"/>
    <w:rsid w:val="00B5730C"/>
    <w:rsid w:val="00B577EA"/>
    <w:rsid w:val="00B61C2B"/>
    <w:rsid w:val="00B6281C"/>
    <w:rsid w:val="00B63B2C"/>
    <w:rsid w:val="00B64186"/>
    <w:rsid w:val="00B65BD1"/>
    <w:rsid w:val="00B6670D"/>
    <w:rsid w:val="00B7025B"/>
    <w:rsid w:val="00B71F11"/>
    <w:rsid w:val="00B73B1E"/>
    <w:rsid w:val="00B74930"/>
    <w:rsid w:val="00B76A91"/>
    <w:rsid w:val="00B77B6A"/>
    <w:rsid w:val="00B82E8C"/>
    <w:rsid w:val="00B8318E"/>
    <w:rsid w:val="00B8408F"/>
    <w:rsid w:val="00B849BD"/>
    <w:rsid w:val="00B85851"/>
    <w:rsid w:val="00B86926"/>
    <w:rsid w:val="00B8770F"/>
    <w:rsid w:val="00B92314"/>
    <w:rsid w:val="00B92AEB"/>
    <w:rsid w:val="00B93287"/>
    <w:rsid w:val="00B94FA0"/>
    <w:rsid w:val="00BA0548"/>
    <w:rsid w:val="00BA4937"/>
    <w:rsid w:val="00BA61EF"/>
    <w:rsid w:val="00BA71EB"/>
    <w:rsid w:val="00BB04F0"/>
    <w:rsid w:val="00BB0594"/>
    <w:rsid w:val="00BB0E45"/>
    <w:rsid w:val="00BB1D0B"/>
    <w:rsid w:val="00BB2424"/>
    <w:rsid w:val="00BB2732"/>
    <w:rsid w:val="00BB294E"/>
    <w:rsid w:val="00BB4426"/>
    <w:rsid w:val="00BB631E"/>
    <w:rsid w:val="00BC1154"/>
    <w:rsid w:val="00BC301C"/>
    <w:rsid w:val="00BC4479"/>
    <w:rsid w:val="00BC5F17"/>
    <w:rsid w:val="00BC7CBF"/>
    <w:rsid w:val="00BC7D82"/>
    <w:rsid w:val="00BD0AA8"/>
    <w:rsid w:val="00BD2FDE"/>
    <w:rsid w:val="00BD462F"/>
    <w:rsid w:val="00BD4AD8"/>
    <w:rsid w:val="00BD5ECD"/>
    <w:rsid w:val="00BD7B8B"/>
    <w:rsid w:val="00BE05D7"/>
    <w:rsid w:val="00BE2BD3"/>
    <w:rsid w:val="00BE2F9D"/>
    <w:rsid w:val="00BE39EB"/>
    <w:rsid w:val="00BE5576"/>
    <w:rsid w:val="00BE5FD0"/>
    <w:rsid w:val="00BE7908"/>
    <w:rsid w:val="00BE7F6F"/>
    <w:rsid w:val="00BF1A18"/>
    <w:rsid w:val="00BF20E1"/>
    <w:rsid w:val="00BF3066"/>
    <w:rsid w:val="00BF3DFC"/>
    <w:rsid w:val="00BF4596"/>
    <w:rsid w:val="00C000AD"/>
    <w:rsid w:val="00C00621"/>
    <w:rsid w:val="00C0098A"/>
    <w:rsid w:val="00C01FD9"/>
    <w:rsid w:val="00C0390F"/>
    <w:rsid w:val="00C05CC1"/>
    <w:rsid w:val="00C05FDC"/>
    <w:rsid w:val="00C060AF"/>
    <w:rsid w:val="00C06BF1"/>
    <w:rsid w:val="00C07DE9"/>
    <w:rsid w:val="00C07F67"/>
    <w:rsid w:val="00C07FC8"/>
    <w:rsid w:val="00C1142B"/>
    <w:rsid w:val="00C114C7"/>
    <w:rsid w:val="00C13481"/>
    <w:rsid w:val="00C14410"/>
    <w:rsid w:val="00C147A3"/>
    <w:rsid w:val="00C15143"/>
    <w:rsid w:val="00C156CB"/>
    <w:rsid w:val="00C1622E"/>
    <w:rsid w:val="00C203F5"/>
    <w:rsid w:val="00C20F25"/>
    <w:rsid w:val="00C21A5F"/>
    <w:rsid w:val="00C2215C"/>
    <w:rsid w:val="00C23620"/>
    <w:rsid w:val="00C25EB5"/>
    <w:rsid w:val="00C3073A"/>
    <w:rsid w:val="00C325E5"/>
    <w:rsid w:val="00C35766"/>
    <w:rsid w:val="00C35CB5"/>
    <w:rsid w:val="00C407BD"/>
    <w:rsid w:val="00C40AF9"/>
    <w:rsid w:val="00C419F2"/>
    <w:rsid w:val="00C42594"/>
    <w:rsid w:val="00C42B9A"/>
    <w:rsid w:val="00C43417"/>
    <w:rsid w:val="00C45581"/>
    <w:rsid w:val="00C4662A"/>
    <w:rsid w:val="00C46D2F"/>
    <w:rsid w:val="00C47659"/>
    <w:rsid w:val="00C4783B"/>
    <w:rsid w:val="00C5467C"/>
    <w:rsid w:val="00C553D0"/>
    <w:rsid w:val="00C554EE"/>
    <w:rsid w:val="00C57337"/>
    <w:rsid w:val="00C6245D"/>
    <w:rsid w:val="00C63723"/>
    <w:rsid w:val="00C63800"/>
    <w:rsid w:val="00C64CBA"/>
    <w:rsid w:val="00C653F9"/>
    <w:rsid w:val="00C65D92"/>
    <w:rsid w:val="00C70723"/>
    <w:rsid w:val="00C718D2"/>
    <w:rsid w:val="00C76197"/>
    <w:rsid w:val="00C7756A"/>
    <w:rsid w:val="00C77EA1"/>
    <w:rsid w:val="00C809C4"/>
    <w:rsid w:val="00C81558"/>
    <w:rsid w:val="00C81775"/>
    <w:rsid w:val="00C82986"/>
    <w:rsid w:val="00C830C9"/>
    <w:rsid w:val="00C8425F"/>
    <w:rsid w:val="00C84CA7"/>
    <w:rsid w:val="00C84F60"/>
    <w:rsid w:val="00C90E56"/>
    <w:rsid w:val="00C92824"/>
    <w:rsid w:val="00C92DA0"/>
    <w:rsid w:val="00C9579A"/>
    <w:rsid w:val="00CA27CE"/>
    <w:rsid w:val="00CA2CB1"/>
    <w:rsid w:val="00CA3229"/>
    <w:rsid w:val="00CA3A19"/>
    <w:rsid w:val="00CA4750"/>
    <w:rsid w:val="00CA5BCF"/>
    <w:rsid w:val="00CB1685"/>
    <w:rsid w:val="00CB1A51"/>
    <w:rsid w:val="00CB488D"/>
    <w:rsid w:val="00CB4F1A"/>
    <w:rsid w:val="00CB5669"/>
    <w:rsid w:val="00CB60BD"/>
    <w:rsid w:val="00CB60D5"/>
    <w:rsid w:val="00CB6F0E"/>
    <w:rsid w:val="00CC0151"/>
    <w:rsid w:val="00CC0296"/>
    <w:rsid w:val="00CC242B"/>
    <w:rsid w:val="00CC2AE7"/>
    <w:rsid w:val="00CC4B60"/>
    <w:rsid w:val="00CC5202"/>
    <w:rsid w:val="00CC7037"/>
    <w:rsid w:val="00CC7343"/>
    <w:rsid w:val="00CD11BF"/>
    <w:rsid w:val="00CD1B3E"/>
    <w:rsid w:val="00CD1E47"/>
    <w:rsid w:val="00CD2452"/>
    <w:rsid w:val="00CD27DF"/>
    <w:rsid w:val="00CD4F0E"/>
    <w:rsid w:val="00CD6806"/>
    <w:rsid w:val="00CD7B56"/>
    <w:rsid w:val="00CE0706"/>
    <w:rsid w:val="00CE3301"/>
    <w:rsid w:val="00CE41A5"/>
    <w:rsid w:val="00CE566C"/>
    <w:rsid w:val="00CE656B"/>
    <w:rsid w:val="00CE6589"/>
    <w:rsid w:val="00CE6EE1"/>
    <w:rsid w:val="00CE740E"/>
    <w:rsid w:val="00CF15FE"/>
    <w:rsid w:val="00CF180D"/>
    <w:rsid w:val="00CF6ED9"/>
    <w:rsid w:val="00CF70BC"/>
    <w:rsid w:val="00D001C8"/>
    <w:rsid w:val="00D0028B"/>
    <w:rsid w:val="00D00656"/>
    <w:rsid w:val="00D02736"/>
    <w:rsid w:val="00D02AA8"/>
    <w:rsid w:val="00D02B45"/>
    <w:rsid w:val="00D068A1"/>
    <w:rsid w:val="00D11652"/>
    <w:rsid w:val="00D11A36"/>
    <w:rsid w:val="00D12039"/>
    <w:rsid w:val="00D127A4"/>
    <w:rsid w:val="00D128FD"/>
    <w:rsid w:val="00D156B6"/>
    <w:rsid w:val="00D20306"/>
    <w:rsid w:val="00D20BAD"/>
    <w:rsid w:val="00D22839"/>
    <w:rsid w:val="00D22E24"/>
    <w:rsid w:val="00D30CE5"/>
    <w:rsid w:val="00D3179A"/>
    <w:rsid w:val="00D32686"/>
    <w:rsid w:val="00D33FC3"/>
    <w:rsid w:val="00D35B3B"/>
    <w:rsid w:val="00D35D8E"/>
    <w:rsid w:val="00D373DD"/>
    <w:rsid w:val="00D379EC"/>
    <w:rsid w:val="00D419BF"/>
    <w:rsid w:val="00D427A1"/>
    <w:rsid w:val="00D43607"/>
    <w:rsid w:val="00D43657"/>
    <w:rsid w:val="00D436F5"/>
    <w:rsid w:val="00D43B90"/>
    <w:rsid w:val="00D51ACD"/>
    <w:rsid w:val="00D52028"/>
    <w:rsid w:val="00D53AA3"/>
    <w:rsid w:val="00D55A0F"/>
    <w:rsid w:val="00D57F31"/>
    <w:rsid w:val="00D6265F"/>
    <w:rsid w:val="00D62F3E"/>
    <w:rsid w:val="00D64678"/>
    <w:rsid w:val="00D656B0"/>
    <w:rsid w:val="00D6757E"/>
    <w:rsid w:val="00D679B7"/>
    <w:rsid w:val="00D70B8A"/>
    <w:rsid w:val="00D72257"/>
    <w:rsid w:val="00D72752"/>
    <w:rsid w:val="00D733C6"/>
    <w:rsid w:val="00D73B50"/>
    <w:rsid w:val="00D80847"/>
    <w:rsid w:val="00D81D68"/>
    <w:rsid w:val="00D83C0D"/>
    <w:rsid w:val="00D84BC7"/>
    <w:rsid w:val="00D8621E"/>
    <w:rsid w:val="00D8622C"/>
    <w:rsid w:val="00D90B2D"/>
    <w:rsid w:val="00D912F5"/>
    <w:rsid w:val="00D92256"/>
    <w:rsid w:val="00D9373E"/>
    <w:rsid w:val="00D94B43"/>
    <w:rsid w:val="00D94EB2"/>
    <w:rsid w:val="00D96A4D"/>
    <w:rsid w:val="00DA0940"/>
    <w:rsid w:val="00DA0B5F"/>
    <w:rsid w:val="00DA15B5"/>
    <w:rsid w:val="00DA2510"/>
    <w:rsid w:val="00DA2ED4"/>
    <w:rsid w:val="00DA4200"/>
    <w:rsid w:val="00DA5444"/>
    <w:rsid w:val="00DA6697"/>
    <w:rsid w:val="00DA77DD"/>
    <w:rsid w:val="00DB2BE7"/>
    <w:rsid w:val="00DB30B8"/>
    <w:rsid w:val="00DB5F7D"/>
    <w:rsid w:val="00DB6AFF"/>
    <w:rsid w:val="00DC0F3A"/>
    <w:rsid w:val="00DC116F"/>
    <w:rsid w:val="00DC27B1"/>
    <w:rsid w:val="00DC378E"/>
    <w:rsid w:val="00DC4020"/>
    <w:rsid w:val="00DC70C3"/>
    <w:rsid w:val="00DC7A8E"/>
    <w:rsid w:val="00DD02D5"/>
    <w:rsid w:val="00DD2457"/>
    <w:rsid w:val="00DE0A6E"/>
    <w:rsid w:val="00DE1F25"/>
    <w:rsid w:val="00DE2173"/>
    <w:rsid w:val="00DE36B6"/>
    <w:rsid w:val="00DE4098"/>
    <w:rsid w:val="00DE5909"/>
    <w:rsid w:val="00DE79DF"/>
    <w:rsid w:val="00DF0FAE"/>
    <w:rsid w:val="00DF0FF6"/>
    <w:rsid w:val="00DF2D1D"/>
    <w:rsid w:val="00DF698D"/>
    <w:rsid w:val="00DF78C7"/>
    <w:rsid w:val="00E00EB4"/>
    <w:rsid w:val="00E01025"/>
    <w:rsid w:val="00E0196D"/>
    <w:rsid w:val="00E01D9E"/>
    <w:rsid w:val="00E024CF"/>
    <w:rsid w:val="00E028F5"/>
    <w:rsid w:val="00E02ED7"/>
    <w:rsid w:val="00E0385A"/>
    <w:rsid w:val="00E0538F"/>
    <w:rsid w:val="00E15E04"/>
    <w:rsid w:val="00E17A3F"/>
    <w:rsid w:val="00E202A3"/>
    <w:rsid w:val="00E21D69"/>
    <w:rsid w:val="00E23C84"/>
    <w:rsid w:val="00E2442C"/>
    <w:rsid w:val="00E25B35"/>
    <w:rsid w:val="00E25C7F"/>
    <w:rsid w:val="00E3084D"/>
    <w:rsid w:val="00E3085C"/>
    <w:rsid w:val="00E30D2F"/>
    <w:rsid w:val="00E31B47"/>
    <w:rsid w:val="00E32F91"/>
    <w:rsid w:val="00E346C6"/>
    <w:rsid w:val="00E35275"/>
    <w:rsid w:val="00E36644"/>
    <w:rsid w:val="00E367A9"/>
    <w:rsid w:val="00E36BD2"/>
    <w:rsid w:val="00E37DFF"/>
    <w:rsid w:val="00E40299"/>
    <w:rsid w:val="00E4078E"/>
    <w:rsid w:val="00E410D3"/>
    <w:rsid w:val="00E42312"/>
    <w:rsid w:val="00E446CB"/>
    <w:rsid w:val="00E474CD"/>
    <w:rsid w:val="00E50D53"/>
    <w:rsid w:val="00E51323"/>
    <w:rsid w:val="00E5191B"/>
    <w:rsid w:val="00E53EE2"/>
    <w:rsid w:val="00E54A90"/>
    <w:rsid w:val="00E54BB6"/>
    <w:rsid w:val="00E55CDA"/>
    <w:rsid w:val="00E67C6A"/>
    <w:rsid w:val="00E711CA"/>
    <w:rsid w:val="00E71FDF"/>
    <w:rsid w:val="00E73BED"/>
    <w:rsid w:val="00E74027"/>
    <w:rsid w:val="00E745EC"/>
    <w:rsid w:val="00E74A89"/>
    <w:rsid w:val="00E7501C"/>
    <w:rsid w:val="00E761E9"/>
    <w:rsid w:val="00E81673"/>
    <w:rsid w:val="00E81F43"/>
    <w:rsid w:val="00E82068"/>
    <w:rsid w:val="00E820D9"/>
    <w:rsid w:val="00E83006"/>
    <w:rsid w:val="00E843F3"/>
    <w:rsid w:val="00E8612D"/>
    <w:rsid w:val="00E866DF"/>
    <w:rsid w:val="00E867E2"/>
    <w:rsid w:val="00E87126"/>
    <w:rsid w:val="00E9142A"/>
    <w:rsid w:val="00E916F4"/>
    <w:rsid w:val="00E938C9"/>
    <w:rsid w:val="00E95810"/>
    <w:rsid w:val="00E96A58"/>
    <w:rsid w:val="00E96EF2"/>
    <w:rsid w:val="00E97F55"/>
    <w:rsid w:val="00E97F65"/>
    <w:rsid w:val="00EA12D8"/>
    <w:rsid w:val="00EA1E8D"/>
    <w:rsid w:val="00EA2CE1"/>
    <w:rsid w:val="00EA2D20"/>
    <w:rsid w:val="00EA2FCC"/>
    <w:rsid w:val="00EA43E7"/>
    <w:rsid w:val="00EA6B71"/>
    <w:rsid w:val="00EA75D0"/>
    <w:rsid w:val="00EB161E"/>
    <w:rsid w:val="00EB1B73"/>
    <w:rsid w:val="00EB30FF"/>
    <w:rsid w:val="00EB3556"/>
    <w:rsid w:val="00EB3B14"/>
    <w:rsid w:val="00EB3BC5"/>
    <w:rsid w:val="00EB62EE"/>
    <w:rsid w:val="00EB69FD"/>
    <w:rsid w:val="00EB71D9"/>
    <w:rsid w:val="00EB7C4A"/>
    <w:rsid w:val="00EC05A7"/>
    <w:rsid w:val="00EC0932"/>
    <w:rsid w:val="00EC0941"/>
    <w:rsid w:val="00EC1944"/>
    <w:rsid w:val="00EC479A"/>
    <w:rsid w:val="00EC779C"/>
    <w:rsid w:val="00ED06B5"/>
    <w:rsid w:val="00ED469E"/>
    <w:rsid w:val="00ED610E"/>
    <w:rsid w:val="00ED64BF"/>
    <w:rsid w:val="00ED67EF"/>
    <w:rsid w:val="00ED68BE"/>
    <w:rsid w:val="00ED7D87"/>
    <w:rsid w:val="00EE04DD"/>
    <w:rsid w:val="00EE123E"/>
    <w:rsid w:val="00EE30FF"/>
    <w:rsid w:val="00EE5474"/>
    <w:rsid w:val="00EF10C9"/>
    <w:rsid w:val="00EF13C5"/>
    <w:rsid w:val="00EF23C1"/>
    <w:rsid w:val="00EF27E1"/>
    <w:rsid w:val="00EF4182"/>
    <w:rsid w:val="00EF7571"/>
    <w:rsid w:val="00EF7A01"/>
    <w:rsid w:val="00EF7EB8"/>
    <w:rsid w:val="00F00126"/>
    <w:rsid w:val="00F00819"/>
    <w:rsid w:val="00F00A13"/>
    <w:rsid w:val="00F0175E"/>
    <w:rsid w:val="00F027B4"/>
    <w:rsid w:val="00F02D49"/>
    <w:rsid w:val="00F04114"/>
    <w:rsid w:val="00F06529"/>
    <w:rsid w:val="00F07187"/>
    <w:rsid w:val="00F112AB"/>
    <w:rsid w:val="00F14D9E"/>
    <w:rsid w:val="00F1543B"/>
    <w:rsid w:val="00F1608D"/>
    <w:rsid w:val="00F17371"/>
    <w:rsid w:val="00F173B9"/>
    <w:rsid w:val="00F24BD6"/>
    <w:rsid w:val="00F25686"/>
    <w:rsid w:val="00F256AF"/>
    <w:rsid w:val="00F25977"/>
    <w:rsid w:val="00F25F00"/>
    <w:rsid w:val="00F275B6"/>
    <w:rsid w:val="00F328CC"/>
    <w:rsid w:val="00F32AF5"/>
    <w:rsid w:val="00F32EA7"/>
    <w:rsid w:val="00F347D3"/>
    <w:rsid w:val="00F348F9"/>
    <w:rsid w:val="00F36940"/>
    <w:rsid w:val="00F377A8"/>
    <w:rsid w:val="00F37DD3"/>
    <w:rsid w:val="00F40B2D"/>
    <w:rsid w:val="00F42555"/>
    <w:rsid w:val="00F430AC"/>
    <w:rsid w:val="00F53A48"/>
    <w:rsid w:val="00F5528C"/>
    <w:rsid w:val="00F56E72"/>
    <w:rsid w:val="00F616B2"/>
    <w:rsid w:val="00F64C80"/>
    <w:rsid w:val="00F670EC"/>
    <w:rsid w:val="00F7307E"/>
    <w:rsid w:val="00F737F3"/>
    <w:rsid w:val="00F74753"/>
    <w:rsid w:val="00F747AB"/>
    <w:rsid w:val="00F767B4"/>
    <w:rsid w:val="00F7753E"/>
    <w:rsid w:val="00F82BA1"/>
    <w:rsid w:val="00F83A8A"/>
    <w:rsid w:val="00F83EDC"/>
    <w:rsid w:val="00F84D80"/>
    <w:rsid w:val="00F93F65"/>
    <w:rsid w:val="00F95F82"/>
    <w:rsid w:val="00F96A7E"/>
    <w:rsid w:val="00F97CAC"/>
    <w:rsid w:val="00FA31C6"/>
    <w:rsid w:val="00FA44A5"/>
    <w:rsid w:val="00FA4EE5"/>
    <w:rsid w:val="00FA4F21"/>
    <w:rsid w:val="00FA5EC5"/>
    <w:rsid w:val="00FA60CB"/>
    <w:rsid w:val="00FA72F0"/>
    <w:rsid w:val="00FB01FF"/>
    <w:rsid w:val="00FB186B"/>
    <w:rsid w:val="00FB1982"/>
    <w:rsid w:val="00FB33B0"/>
    <w:rsid w:val="00FB39B3"/>
    <w:rsid w:val="00FB3A4F"/>
    <w:rsid w:val="00FB430E"/>
    <w:rsid w:val="00FB5D64"/>
    <w:rsid w:val="00FB7A53"/>
    <w:rsid w:val="00FC015F"/>
    <w:rsid w:val="00FC07AD"/>
    <w:rsid w:val="00FC0FDC"/>
    <w:rsid w:val="00FC2630"/>
    <w:rsid w:val="00FC26C2"/>
    <w:rsid w:val="00FC37CB"/>
    <w:rsid w:val="00FC3C0F"/>
    <w:rsid w:val="00FC419C"/>
    <w:rsid w:val="00FD0BC3"/>
    <w:rsid w:val="00FD1995"/>
    <w:rsid w:val="00FD2CE9"/>
    <w:rsid w:val="00FD5558"/>
    <w:rsid w:val="00FD5FD6"/>
    <w:rsid w:val="00FD6AEC"/>
    <w:rsid w:val="00FD74D8"/>
    <w:rsid w:val="00FD7F2B"/>
    <w:rsid w:val="00FE157C"/>
    <w:rsid w:val="00FE16DD"/>
    <w:rsid w:val="00FE1A50"/>
    <w:rsid w:val="00FE4EE2"/>
    <w:rsid w:val="00FE7EF1"/>
    <w:rsid w:val="00FF2281"/>
    <w:rsid w:val="00FF3DBB"/>
    <w:rsid w:val="00FF4659"/>
    <w:rsid w:val="00FF5E7B"/>
    <w:rsid w:val="00FF6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C5"/>
    <w:rPr>
      <w:sz w:val="24"/>
      <w:szCs w:val="24"/>
      <w:lang w:val="en-US"/>
    </w:rPr>
  </w:style>
  <w:style w:type="paragraph" w:styleId="Heading1">
    <w:name w:val="heading 1"/>
    <w:basedOn w:val="Normal"/>
    <w:next w:val="Normal"/>
    <w:link w:val="Heading1Char"/>
    <w:uiPriority w:val="9"/>
    <w:qFormat/>
    <w:rsid w:val="001D08AF"/>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uiPriority w:val="9"/>
    <w:qFormat/>
    <w:rsid w:val="001D08AF"/>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uiPriority w:val="9"/>
    <w:qFormat/>
    <w:rsid w:val="001D08AF"/>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iPriority w:val="9"/>
    <w:semiHidden/>
    <w:unhideWhenUsed/>
    <w:qFormat/>
    <w:rsid w:val="00940A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A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A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A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A5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40A5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AF"/>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uiPriority w:val="9"/>
    <w:rsid w:val="001D08AF"/>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uiPriority w:val="9"/>
    <w:rsid w:val="001D08AF"/>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uiPriority w:val="9"/>
    <w:semiHidden/>
    <w:rsid w:val="00462BBF"/>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462BBF"/>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462BBF"/>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462BBF"/>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462BBF"/>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semiHidden/>
    <w:rsid w:val="00462BBF"/>
    <w:rPr>
      <w:rFonts w:asciiTheme="majorHAnsi" w:eastAsiaTheme="majorEastAsia" w:hAnsiTheme="majorHAnsi" w:cstheme="majorBidi"/>
      <w:i/>
      <w:iCs/>
      <w:color w:val="404040" w:themeColor="text1" w:themeTint="BF"/>
      <w:sz w:val="24"/>
      <w:szCs w:val="24"/>
      <w:lang w:val="en-US"/>
    </w:rPr>
  </w:style>
  <w:style w:type="paragraph" w:styleId="TOC1">
    <w:name w:val="toc 1"/>
    <w:basedOn w:val="Normal"/>
    <w:next w:val="Normal"/>
    <w:autoRedefine/>
    <w:uiPriority w:val="39"/>
    <w:semiHidden/>
    <w:unhideWhenUsed/>
    <w:rsid w:val="00940A53"/>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940A53"/>
    <w:rPr>
      <w:sz w:val="22"/>
      <w:szCs w:val="22"/>
    </w:rPr>
  </w:style>
  <w:style w:type="paragraph" w:styleId="TOC3">
    <w:name w:val="toc 3"/>
    <w:basedOn w:val="Normal"/>
    <w:next w:val="Normal"/>
    <w:autoRedefine/>
    <w:uiPriority w:val="39"/>
    <w:semiHidden/>
    <w:unhideWhenUsed/>
    <w:rsid w:val="00940A53"/>
    <w:pPr>
      <w:ind w:left="240"/>
    </w:pPr>
    <w:rPr>
      <w:i/>
      <w:sz w:val="22"/>
      <w:szCs w:val="22"/>
    </w:rPr>
  </w:style>
  <w:style w:type="paragraph" w:styleId="TOC4">
    <w:name w:val="toc 4"/>
    <w:basedOn w:val="Normal"/>
    <w:next w:val="Normal"/>
    <w:autoRedefine/>
    <w:uiPriority w:val="39"/>
    <w:semiHidden/>
    <w:unhideWhenUsed/>
    <w:rsid w:val="00940A53"/>
    <w:pPr>
      <w:pBdr>
        <w:between w:val="double" w:sz="6" w:space="0" w:color="auto"/>
      </w:pBdr>
      <w:ind w:left="480"/>
    </w:pPr>
  </w:style>
  <w:style w:type="paragraph" w:styleId="TOC5">
    <w:name w:val="toc 5"/>
    <w:basedOn w:val="Normal"/>
    <w:next w:val="Normal"/>
    <w:autoRedefine/>
    <w:uiPriority w:val="39"/>
    <w:semiHidden/>
    <w:unhideWhenUsed/>
    <w:rsid w:val="00940A53"/>
    <w:pPr>
      <w:pBdr>
        <w:between w:val="double" w:sz="6" w:space="0" w:color="auto"/>
      </w:pBdr>
      <w:ind w:left="720"/>
    </w:pPr>
  </w:style>
  <w:style w:type="paragraph" w:styleId="TOC6">
    <w:name w:val="toc 6"/>
    <w:basedOn w:val="Normal"/>
    <w:next w:val="Normal"/>
    <w:autoRedefine/>
    <w:uiPriority w:val="39"/>
    <w:semiHidden/>
    <w:unhideWhenUsed/>
    <w:rsid w:val="00940A53"/>
    <w:pPr>
      <w:pBdr>
        <w:between w:val="double" w:sz="6" w:space="0" w:color="auto"/>
      </w:pBdr>
      <w:ind w:left="960"/>
    </w:pPr>
  </w:style>
  <w:style w:type="paragraph" w:styleId="TOC7">
    <w:name w:val="toc 7"/>
    <w:basedOn w:val="Normal"/>
    <w:next w:val="Normal"/>
    <w:autoRedefine/>
    <w:uiPriority w:val="39"/>
    <w:semiHidden/>
    <w:unhideWhenUsed/>
    <w:rsid w:val="00940A53"/>
    <w:pPr>
      <w:pBdr>
        <w:between w:val="double" w:sz="6" w:space="0" w:color="auto"/>
      </w:pBdr>
      <w:ind w:left="1200"/>
    </w:pPr>
  </w:style>
  <w:style w:type="paragraph" w:styleId="TOC8">
    <w:name w:val="toc 8"/>
    <w:basedOn w:val="Normal"/>
    <w:next w:val="Normal"/>
    <w:autoRedefine/>
    <w:uiPriority w:val="39"/>
    <w:semiHidden/>
    <w:unhideWhenUsed/>
    <w:rsid w:val="00940A53"/>
    <w:pPr>
      <w:pBdr>
        <w:between w:val="double" w:sz="6" w:space="0" w:color="auto"/>
      </w:pBdr>
      <w:ind w:left="1440"/>
    </w:pPr>
  </w:style>
  <w:style w:type="paragraph" w:styleId="FootnoteText">
    <w:name w:val="footnote text"/>
    <w:basedOn w:val="Normal"/>
    <w:link w:val="FootnoteTextChar"/>
    <w:semiHidden/>
    <w:rsid w:val="00940A53"/>
    <w:rPr>
      <w:rFonts w:ascii="Times New Roman" w:eastAsia="Times New Roman" w:hAnsi="Times New Roman"/>
    </w:rPr>
  </w:style>
  <w:style w:type="character" w:customStyle="1" w:styleId="FootnoteTextChar">
    <w:name w:val="Footnote Text Char"/>
    <w:basedOn w:val="DefaultParagraphFont"/>
    <w:link w:val="FootnoteText"/>
    <w:semiHidden/>
    <w:rsid w:val="00940A53"/>
    <w:rPr>
      <w:rFonts w:ascii="Times New Roman" w:eastAsia="Times New Roman" w:hAnsi="Times New Roman" w:cstheme="minorBidi"/>
      <w:sz w:val="24"/>
      <w:szCs w:val="24"/>
      <w:lang w:val="en-US"/>
    </w:rPr>
  </w:style>
  <w:style w:type="paragraph" w:styleId="Footer">
    <w:name w:val="footer"/>
    <w:basedOn w:val="Normal"/>
    <w:link w:val="FooterChar"/>
    <w:uiPriority w:val="99"/>
    <w:unhideWhenUsed/>
    <w:rsid w:val="001D08AF"/>
    <w:pPr>
      <w:tabs>
        <w:tab w:val="center" w:pos="4680"/>
        <w:tab w:val="right" w:pos="9360"/>
      </w:tabs>
    </w:pPr>
  </w:style>
  <w:style w:type="character" w:customStyle="1" w:styleId="FooterChar">
    <w:name w:val="Footer Char"/>
    <w:basedOn w:val="DefaultParagraphFont"/>
    <w:link w:val="Footer"/>
    <w:uiPriority w:val="99"/>
    <w:rsid w:val="00462BBF"/>
    <w:rPr>
      <w:sz w:val="24"/>
      <w:szCs w:val="24"/>
      <w:lang w:val="en-US"/>
    </w:rPr>
  </w:style>
  <w:style w:type="paragraph" w:styleId="TableofFigures">
    <w:name w:val="table of figures"/>
    <w:basedOn w:val="Normal"/>
    <w:next w:val="Normal"/>
    <w:uiPriority w:val="99"/>
    <w:semiHidden/>
    <w:unhideWhenUsed/>
    <w:rsid w:val="001D08AF"/>
  </w:style>
  <w:style w:type="character" w:styleId="FootnoteReference">
    <w:name w:val="footnote reference"/>
    <w:semiHidden/>
    <w:rsid w:val="00940A53"/>
    <w:rPr>
      <w:vertAlign w:val="superscript"/>
    </w:rPr>
  </w:style>
  <w:style w:type="character" w:styleId="EndnoteReference">
    <w:name w:val="endnote reference"/>
    <w:basedOn w:val="DefaultParagraphFont"/>
    <w:uiPriority w:val="99"/>
    <w:rsid w:val="001D08AF"/>
    <w:rPr>
      <w:vertAlign w:val="superscript"/>
    </w:rPr>
  </w:style>
  <w:style w:type="paragraph" w:styleId="EndnoteText">
    <w:name w:val="endnote text"/>
    <w:basedOn w:val="Normal"/>
    <w:link w:val="EndnoteTextChar"/>
    <w:uiPriority w:val="99"/>
    <w:rsid w:val="001D08AF"/>
    <w:rPr>
      <w:sz w:val="20"/>
      <w:szCs w:val="20"/>
    </w:rPr>
  </w:style>
  <w:style w:type="character" w:customStyle="1" w:styleId="EndnoteTextChar">
    <w:name w:val="Endnote Text Char"/>
    <w:basedOn w:val="DefaultParagraphFont"/>
    <w:link w:val="EndnoteText"/>
    <w:uiPriority w:val="99"/>
    <w:rsid w:val="001D08AF"/>
    <w:rPr>
      <w:rFonts w:eastAsia="Cambria"/>
      <w:lang w:val="en-US"/>
    </w:rPr>
  </w:style>
  <w:style w:type="paragraph" w:styleId="TableofAuthorities">
    <w:name w:val="table of authorities"/>
    <w:basedOn w:val="Normal"/>
    <w:next w:val="Normal"/>
    <w:uiPriority w:val="99"/>
    <w:semiHidden/>
    <w:unhideWhenUsed/>
    <w:rsid w:val="001D08AF"/>
    <w:pPr>
      <w:ind w:left="240" w:hanging="240"/>
    </w:pPr>
  </w:style>
  <w:style w:type="paragraph" w:styleId="ListBullet">
    <w:name w:val="List Bullet"/>
    <w:basedOn w:val="Normal"/>
    <w:uiPriority w:val="99"/>
    <w:rsid w:val="00940A53"/>
    <w:pPr>
      <w:numPr>
        <w:numId w:val="24"/>
      </w:numPr>
      <w:contextualSpacing/>
    </w:pPr>
  </w:style>
  <w:style w:type="paragraph" w:styleId="ListNumber">
    <w:name w:val="List Number"/>
    <w:basedOn w:val="Normal"/>
    <w:uiPriority w:val="99"/>
    <w:rsid w:val="001D08AF"/>
    <w:pPr>
      <w:numPr>
        <w:numId w:val="30"/>
      </w:numPr>
      <w:spacing w:before="100" w:after="100"/>
      <w:contextualSpacing/>
      <w:jc w:val="both"/>
    </w:pPr>
  </w:style>
  <w:style w:type="paragraph" w:styleId="ListBullet2">
    <w:name w:val="List Bullet 2"/>
    <w:basedOn w:val="Normal"/>
    <w:uiPriority w:val="99"/>
    <w:semiHidden/>
    <w:unhideWhenUsed/>
    <w:rsid w:val="00940A53"/>
    <w:pPr>
      <w:numPr>
        <w:numId w:val="25"/>
      </w:numPr>
      <w:contextualSpacing/>
    </w:pPr>
  </w:style>
  <w:style w:type="paragraph" w:styleId="Title">
    <w:name w:val="Title"/>
    <w:basedOn w:val="Normal"/>
    <w:next w:val="Normal"/>
    <w:link w:val="TitleChar"/>
    <w:uiPriority w:val="10"/>
    <w:qFormat/>
    <w:rsid w:val="001D08AF"/>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1D08AF"/>
    <w:rPr>
      <w:rFonts w:ascii="Calibri" w:eastAsiaTheme="majorEastAsia" w:hAnsi="Calibri" w:cstheme="majorBidi"/>
      <w:color w:val="183A63"/>
      <w:spacing w:val="5"/>
      <w:kern w:val="28"/>
      <w:sz w:val="52"/>
      <w:szCs w:val="52"/>
      <w:lang w:val="en-US"/>
    </w:rPr>
  </w:style>
  <w:style w:type="paragraph" w:styleId="BodyText">
    <w:name w:val="Body Text"/>
    <w:basedOn w:val="Normal"/>
    <w:link w:val="BodyTextChar"/>
    <w:uiPriority w:val="99"/>
    <w:semiHidden/>
    <w:unhideWhenUsed/>
    <w:rsid w:val="00940A53"/>
    <w:pPr>
      <w:spacing w:after="120"/>
    </w:pPr>
  </w:style>
  <w:style w:type="character" w:customStyle="1" w:styleId="BodyTextChar">
    <w:name w:val="Body Text Char"/>
    <w:basedOn w:val="DefaultParagraphFont"/>
    <w:link w:val="BodyText"/>
    <w:uiPriority w:val="99"/>
    <w:semiHidden/>
    <w:rsid w:val="00462BBF"/>
    <w:rPr>
      <w:sz w:val="24"/>
      <w:szCs w:val="24"/>
      <w:lang w:val="en-US"/>
    </w:rPr>
  </w:style>
  <w:style w:type="paragraph" w:styleId="BodyTextIndent">
    <w:name w:val="Body Text Indent"/>
    <w:basedOn w:val="Normal"/>
    <w:link w:val="BodyTextIndentChar"/>
    <w:uiPriority w:val="99"/>
    <w:unhideWhenUsed/>
    <w:rsid w:val="00940A53"/>
    <w:pPr>
      <w:spacing w:after="120"/>
      <w:ind w:left="360"/>
    </w:pPr>
  </w:style>
  <w:style w:type="character" w:customStyle="1" w:styleId="BodyTextIndentChar">
    <w:name w:val="Body Text Indent Char"/>
    <w:basedOn w:val="DefaultParagraphFont"/>
    <w:link w:val="BodyTextIndent"/>
    <w:uiPriority w:val="99"/>
    <w:rsid w:val="00462BBF"/>
    <w:rPr>
      <w:sz w:val="24"/>
      <w:szCs w:val="24"/>
      <w:lang w:val="en-US"/>
    </w:rPr>
  </w:style>
  <w:style w:type="paragraph" w:styleId="Subtitle">
    <w:name w:val="Subtitle"/>
    <w:basedOn w:val="Normal"/>
    <w:next w:val="Normal"/>
    <w:link w:val="SubtitleChar"/>
    <w:uiPriority w:val="11"/>
    <w:semiHidden/>
    <w:unhideWhenUsed/>
    <w:qFormat/>
    <w:rsid w:val="00940A5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462BBF"/>
    <w:rPr>
      <w:rFonts w:asciiTheme="majorHAnsi" w:eastAsiaTheme="majorEastAsia" w:hAnsiTheme="majorHAnsi" w:cstheme="majorBidi"/>
      <w:i/>
      <w:iCs/>
      <w:color w:val="4F81BD" w:themeColor="accent1"/>
      <w:spacing w:val="15"/>
      <w:sz w:val="24"/>
      <w:szCs w:val="24"/>
      <w:lang w:val="en-US"/>
    </w:rPr>
  </w:style>
  <w:style w:type="paragraph" w:styleId="BodyTextFirstIndent">
    <w:name w:val="Body Text First Indent"/>
    <w:basedOn w:val="BodyText"/>
    <w:link w:val="BodyTextFirstIndentChar"/>
    <w:uiPriority w:val="99"/>
    <w:rsid w:val="001D08AF"/>
    <w:pPr>
      <w:spacing w:before="120"/>
      <w:ind w:firstLine="360"/>
      <w:jc w:val="both"/>
    </w:pPr>
  </w:style>
  <w:style w:type="character" w:customStyle="1" w:styleId="BodyTextFirstIndentChar">
    <w:name w:val="Body Text First Indent Char"/>
    <w:basedOn w:val="BodyTextChar"/>
    <w:link w:val="BodyTextFirstIndent"/>
    <w:uiPriority w:val="99"/>
    <w:rsid w:val="001D08AF"/>
    <w:rPr>
      <w:rFonts w:eastAsia="Cambria"/>
      <w:sz w:val="24"/>
      <w:szCs w:val="24"/>
      <w:lang w:val="en-US"/>
    </w:rPr>
  </w:style>
  <w:style w:type="paragraph" w:styleId="BodyTextFirstIndent2">
    <w:name w:val="Body Text First Indent 2"/>
    <w:basedOn w:val="BodyTextIndent"/>
    <w:link w:val="BodyTextFirstIndent2Char"/>
    <w:uiPriority w:val="99"/>
    <w:semiHidden/>
    <w:unhideWhenUsed/>
    <w:rsid w:val="00940A53"/>
    <w:pPr>
      <w:spacing w:after="0"/>
      <w:ind w:firstLine="360"/>
    </w:pPr>
  </w:style>
  <w:style w:type="character" w:customStyle="1" w:styleId="BodyTextFirstIndent2Char">
    <w:name w:val="Body Text First Indent 2 Char"/>
    <w:basedOn w:val="BodyTextIndentChar"/>
    <w:link w:val="BodyTextFirstIndent2"/>
    <w:uiPriority w:val="99"/>
    <w:semiHidden/>
    <w:rsid w:val="00462BBF"/>
    <w:rPr>
      <w:sz w:val="24"/>
      <w:szCs w:val="24"/>
      <w:lang w:val="en-US"/>
    </w:rPr>
  </w:style>
  <w:style w:type="paragraph" w:styleId="BodyText2">
    <w:name w:val="Body Text 2"/>
    <w:basedOn w:val="Normal"/>
    <w:link w:val="BodyText2Char"/>
    <w:uiPriority w:val="99"/>
    <w:semiHidden/>
    <w:unhideWhenUsed/>
    <w:rsid w:val="00940A53"/>
    <w:pPr>
      <w:spacing w:after="120" w:line="480" w:lineRule="auto"/>
    </w:pPr>
  </w:style>
  <w:style w:type="character" w:customStyle="1" w:styleId="BodyText2Char">
    <w:name w:val="Body Text 2 Char"/>
    <w:basedOn w:val="DefaultParagraphFont"/>
    <w:link w:val="BodyText2"/>
    <w:uiPriority w:val="99"/>
    <w:semiHidden/>
    <w:rsid w:val="00462BBF"/>
    <w:rPr>
      <w:sz w:val="24"/>
      <w:szCs w:val="24"/>
      <w:lang w:val="en-US"/>
    </w:rPr>
  </w:style>
  <w:style w:type="paragraph" w:styleId="BodyText3">
    <w:name w:val="Body Text 3"/>
    <w:basedOn w:val="Normal"/>
    <w:link w:val="BodyText3Char"/>
    <w:uiPriority w:val="99"/>
    <w:semiHidden/>
    <w:unhideWhenUsed/>
    <w:rsid w:val="00940A53"/>
    <w:pPr>
      <w:spacing w:after="120"/>
    </w:pPr>
    <w:rPr>
      <w:sz w:val="16"/>
      <w:szCs w:val="16"/>
    </w:rPr>
  </w:style>
  <w:style w:type="character" w:customStyle="1" w:styleId="BodyText3Char">
    <w:name w:val="Body Text 3 Char"/>
    <w:basedOn w:val="DefaultParagraphFont"/>
    <w:link w:val="BodyText3"/>
    <w:uiPriority w:val="99"/>
    <w:semiHidden/>
    <w:rsid w:val="00462BBF"/>
    <w:rPr>
      <w:sz w:val="16"/>
      <w:szCs w:val="16"/>
      <w:lang w:val="en-US"/>
    </w:rPr>
  </w:style>
  <w:style w:type="paragraph" w:styleId="BlockText">
    <w:name w:val="Block Text"/>
    <w:basedOn w:val="Normal"/>
    <w:uiPriority w:val="99"/>
    <w:semiHidden/>
    <w:unhideWhenUsed/>
    <w:rsid w:val="00940A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Hyperlink">
    <w:name w:val="Hyperlink"/>
    <w:uiPriority w:val="99"/>
    <w:rsid w:val="001D08AF"/>
    <w:rPr>
      <w:color w:val="0000FF"/>
      <w:u w:val="single"/>
    </w:rPr>
  </w:style>
  <w:style w:type="character" w:styleId="FollowedHyperlink">
    <w:name w:val="FollowedHyperlink"/>
    <w:basedOn w:val="DefaultParagraphFont"/>
    <w:uiPriority w:val="99"/>
    <w:rsid w:val="001D08AF"/>
    <w:rPr>
      <w:color w:val="0070C0"/>
      <w:u w:val="single"/>
    </w:rPr>
  </w:style>
  <w:style w:type="character" w:styleId="Strong">
    <w:name w:val="Strong"/>
    <w:basedOn w:val="DefaultParagraphFont"/>
    <w:uiPriority w:val="22"/>
    <w:qFormat/>
    <w:rsid w:val="001D08AF"/>
    <w:rPr>
      <w:b/>
      <w:bCs/>
    </w:rPr>
  </w:style>
  <w:style w:type="character" w:styleId="Emphasis">
    <w:name w:val="Emphasis"/>
    <w:basedOn w:val="DefaultParagraphFont"/>
    <w:uiPriority w:val="20"/>
    <w:qFormat/>
    <w:rsid w:val="00940A53"/>
    <w:rPr>
      <w:i/>
      <w:iCs/>
    </w:rPr>
  </w:style>
  <w:style w:type="paragraph" w:styleId="PlainText">
    <w:name w:val="Plain Text"/>
    <w:basedOn w:val="Normal"/>
    <w:link w:val="PlainTextChar"/>
    <w:uiPriority w:val="99"/>
    <w:semiHidden/>
    <w:unhideWhenUsed/>
    <w:rsid w:val="00940A53"/>
    <w:rPr>
      <w:rFonts w:ascii="Calibri" w:hAnsi="Calibri"/>
      <w:sz w:val="22"/>
      <w:szCs w:val="21"/>
    </w:rPr>
  </w:style>
  <w:style w:type="character" w:customStyle="1" w:styleId="PlainTextChar">
    <w:name w:val="Plain Text Char"/>
    <w:basedOn w:val="DefaultParagraphFont"/>
    <w:link w:val="PlainText"/>
    <w:uiPriority w:val="99"/>
    <w:semiHidden/>
    <w:rsid w:val="00462BBF"/>
    <w:rPr>
      <w:rFonts w:ascii="Calibri" w:hAnsi="Calibri"/>
      <w:sz w:val="22"/>
      <w:szCs w:val="21"/>
      <w:lang w:val="en-US"/>
    </w:rPr>
  </w:style>
  <w:style w:type="paragraph" w:styleId="E-mailSignature">
    <w:name w:val="E-mail Signature"/>
    <w:basedOn w:val="Normal"/>
    <w:link w:val="E-mailSignatureChar"/>
    <w:uiPriority w:val="99"/>
    <w:rsid w:val="001D08AF"/>
  </w:style>
  <w:style w:type="character" w:customStyle="1" w:styleId="E-mailSignatureChar">
    <w:name w:val="E-mail Signature Char"/>
    <w:basedOn w:val="DefaultParagraphFont"/>
    <w:link w:val="E-mailSignature"/>
    <w:uiPriority w:val="99"/>
    <w:rsid w:val="001D08AF"/>
    <w:rPr>
      <w:rFonts w:eastAsia="Cambria"/>
      <w:sz w:val="24"/>
      <w:szCs w:val="24"/>
      <w:lang w:val="en-US"/>
    </w:rPr>
  </w:style>
  <w:style w:type="paragraph" w:styleId="NormalWeb">
    <w:name w:val="Normal (Web)"/>
    <w:basedOn w:val="Normal"/>
    <w:uiPriority w:val="99"/>
    <w:semiHidden/>
    <w:unhideWhenUsed/>
    <w:rsid w:val="00940A53"/>
    <w:pPr>
      <w:spacing w:before="100" w:beforeAutospacing="1" w:after="100" w:afterAutospacing="1"/>
    </w:pPr>
    <w:rPr>
      <w:rFonts w:ascii="Times New Roman" w:eastAsia="Times New Roman" w:hAnsi="Times New Roman"/>
    </w:rPr>
  </w:style>
  <w:style w:type="table" w:styleId="TableContemporary">
    <w:name w:val="Table Contemporary"/>
    <w:basedOn w:val="TableNormal"/>
    <w:uiPriority w:val="99"/>
    <w:unhideWhenUsed/>
    <w:rsid w:val="001D08AF"/>
    <w:rPr>
      <w:lang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1D08AF"/>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semiHidden/>
    <w:qFormat/>
    <w:rsid w:val="00940A53"/>
    <w:rPr>
      <w:lang w:val="en-US"/>
    </w:rPr>
  </w:style>
  <w:style w:type="paragraph" w:styleId="ListParagraph">
    <w:name w:val="List Paragraph"/>
    <w:basedOn w:val="Normal"/>
    <w:uiPriority w:val="34"/>
    <w:unhideWhenUsed/>
    <w:qFormat/>
    <w:rsid w:val="00940A53"/>
    <w:pPr>
      <w:spacing w:after="200" w:line="276" w:lineRule="auto"/>
      <w:ind w:left="720"/>
      <w:contextualSpacing/>
    </w:pPr>
    <w:rPr>
      <w:rFonts w:eastAsiaTheme="minorEastAsia"/>
      <w:sz w:val="22"/>
      <w:szCs w:val="22"/>
    </w:rPr>
  </w:style>
  <w:style w:type="character" w:styleId="SubtleEmphasis">
    <w:name w:val="Subtle Emphasis"/>
    <w:basedOn w:val="DefaultParagraphFont"/>
    <w:uiPriority w:val="19"/>
    <w:semiHidden/>
    <w:unhideWhenUsed/>
    <w:qFormat/>
    <w:rsid w:val="00940A53"/>
    <w:rPr>
      <w:i/>
      <w:iCs/>
      <w:color w:val="808080" w:themeColor="text1" w:themeTint="7F"/>
    </w:rPr>
  </w:style>
  <w:style w:type="character" w:styleId="IntenseEmphasis">
    <w:name w:val="Intense Emphasis"/>
    <w:basedOn w:val="DefaultParagraphFont"/>
    <w:uiPriority w:val="21"/>
    <w:semiHidden/>
    <w:unhideWhenUsed/>
    <w:qFormat/>
    <w:rsid w:val="001D08AF"/>
    <w:rPr>
      <w:b/>
      <w:bCs/>
      <w:i/>
      <w:iCs/>
      <w:color w:val="4F81BD"/>
    </w:rPr>
  </w:style>
  <w:style w:type="character" w:styleId="BookTitle">
    <w:name w:val="Book Title"/>
    <w:basedOn w:val="DefaultParagraphFont"/>
    <w:uiPriority w:val="33"/>
    <w:semiHidden/>
    <w:unhideWhenUsed/>
    <w:qFormat/>
    <w:rsid w:val="00940A53"/>
    <w:rPr>
      <w:b/>
      <w:bCs/>
      <w:smallCaps/>
      <w:spacing w:val="5"/>
    </w:rPr>
  </w:style>
  <w:style w:type="paragraph" w:styleId="Bibliography">
    <w:name w:val="Bibliography"/>
    <w:basedOn w:val="Normal"/>
    <w:next w:val="Normal"/>
    <w:uiPriority w:val="37"/>
    <w:semiHidden/>
    <w:unhideWhenUsed/>
    <w:rsid w:val="00940A53"/>
  </w:style>
  <w:style w:type="paragraph" w:customStyle="1" w:styleId="Article">
    <w:name w:val="Article"/>
    <w:basedOn w:val="Normal"/>
    <w:qFormat/>
    <w:rsid w:val="001D08AF"/>
    <w:rPr>
      <w:color w:val="262626"/>
    </w:rPr>
  </w:style>
  <w:style w:type="paragraph" w:customStyle="1" w:styleId="CustomReference">
    <w:name w:val="CustomReference"/>
    <w:basedOn w:val="ListNumber"/>
    <w:semiHidden/>
    <w:unhideWhenUsed/>
    <w:qFormat/>
    <w:rsid w:val="001D08AF"/>
    <w:pPr>
      <w:numPr>
        <w:numId w:val="0"/>
      </w:numPr>
    </w:pPr>
  </w:style>
  <w:style w:type="paragraph" w:customStyle="1" w:styleId="ImageStyle">
    <w:name w:val="ImageStyle"/>
    <w:basedOn w:val="Normal"/>
    <w:autoRedefine/>
    <w:qFormat/>
    <w:rsid w:val="00EC0941"/>
    <w:rPr>
      <w:b/>
      <w:bCs/>
      <w:noProof/>
      <w:lang w:val="en-IN" w:eastAsia="en-IN"/>
    </w:rPr>
  </w:style>
  <w:style w:type="paragraph" w:customStyle="1" w:styleId="ImageCaption">
    <w:name w:val="ImageCaption"/>
    <w:basedOn w:val="Normal"/>
    <w:qFormat/>
    <w:rsid w:val="001D08AF"/>
  </w:style>
  <w:style w:type="paragraph" w:customStyle="1" w:styleId="TableStyle">
    <w:name w:val="TableStyle"/>
    <w:basedOn w:val="Normal"/>
    <w:qFormat/>
    <w:rsid w:val="001D08AF"/>
    <w:rPr>
      <w:rFonts w:asciiTheme="minorHAnsi" w:eastAsiaTheme="minorHAnsi" w:hAnsiTheme="minorHAnsi" w:cstheme="minorBidi"/>
    </w:rPr>
  </w:style>
  <w:style w:type="paragraph" w:customStyle="1" w:styleId="TableCaption">
    <w:name w:val="TableCaption"/>
    <w:basedOn w:val="Normal"/>
    <w:qFormat/>
    <w:rsid w:val="001D08AF"/>
  </w:style>
  <w:style w:type="character" w:customStyle="1" w:styleId="Subscript">
    <w:name w:val="Subscript"/>
    <w:uiPriority w:val="1"/>
    <w:rsid w:val="001D08AF"/>
    <w:rPr>
      <w:vertAlign w:val="subscript"/>
      <w:lang w:val="en-IN"/>
    </w:rPr>
  </w:style>
  <w:style w:type="paragraph" w:styleId="Salutation">
    <w:name w:val="Salutation"/>
    <w:basedOn w:val="Normal"/>
    <w:next w:val="Normal"/>
    <w:link w:val="SalutationChar"/>
    <w:uiPriority w:val="99"/>
    <w:semiHidden/>
    <w:unhideWhenUsed/>
    <w:rsid w:val="001D08AF"/>
  </w:style>
  <w:style w:type="character" w:customStyle="1" w:styleId="SalutationChar">
    <w:name w:val="Salutation Char"/>
    <w:basedOn w:val="DefaultParagraphFont"/>
    <w:link w:val="Salutation"/>
    <w:uiPriority w:val="99"/>
    <w:semiHidden/>
    <w:rsid w:val="00462BBF"/>
    <w:rPr>
      <w:sz w:val="24"/>
      <w:szCs w:val="24"/>
      <w:lang w:val="en-US"/>
    </w:rPr>
  </w:style>
  <w:style w:type="paragraph" w:styleId="NoteHeading">
    <w:name w:val="Note Heading"/>
    <w:basedOn w:val="Normal"/>
    <w:next w:val="Normal"/>
    <w:link w:val="NoteHeadingChar"/>
    <w:uiPriority w:val="99"/>
    <w:semiHidden/>
    <w:unhideWhenUsed/>
    <w:rsid w:val="001D08AF"/>
  </w:style>
  <w:style w:type="character" w:customStyle="1" w:styleId="NoteHeadingChar">
    <w:name w:val="Note Heading Char"/>
    <w:basedOn w:val="DefaultParagraphFont"/>
    <w:link w:val="NoteHeading"/>
    <w:uiPriority w:val="99"/>
    <w:semiHidden/>
    <w:rsid w:val="00462BBF"/>
    <w:rPr>
      <w:sz w:val="24"/>
      <w:szCs w:val="24"/>
      <w:lang w:val="en-US"/>
    </w:rPr>
  </w:style>
  <w:style w:type="character" w:customStyle="1" w:styleId="Underline">
    <w:name w:val="Underline"/>
    <w:uiPriority w:val="1"/>
    <w:rsid w:val="001D08AF"/>
    <w:rPr>
      <w:u w:val="single"/>
    </w:rPr>
  </w:style>
  <w:style w:type="paragraph" w:styleId="TOC9">
    <w:name w:val="toc 9"/>
    <w:basedOn w:val="Normal"/>
    <w:next w:val="Normal"/>
    <w:autoRedefine/>
    <w:uiPriority w:val="39"/>
    <w:semiHidden/>
    <w:unhideWhenUsed/>
    <w:rsid w:val="00940A53"/>
    <w:pPr>
      <w:pBdr>
        <w:between w:val="double" w:sz="6" w:space="0" w:color="auto"/>
      </w:pBdr>
      <w:ind w:left="1680"/>
    </w:pPr>
  </w:style>
  <w:style w:type="paragraph" w:styleId="CommentText">
    <w:name w:val="annotation text"/>
    <w:basedOn w:val="Normal"/>
    <w:link w:val="CommentTextChar"/>
    <w:uiPriority w:val="99"/>
    <w:semiHidden/>
    <w:unhideWhenUsed/>
    <w:rsid w:val="00940A53"/>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940A53"/>
    <w:rPr>
      <w:rFonts w:ascii="Calibri" w:eastAsia="Calibri" w:hAnsi="Calibri"/>
    </w:rPr>
  </w:style>
  <w:style w:type="paragraph" w:styleId="Header">
    <w:name w:val="header"/>
    <w:basedOn w:val="Normal"/>
    <w:link w:val="HeaderChar"/>
    <w:uiPriority w:val="99"/>
    <w:unhideWhenUsed/>
    <w:rsid w:val="00940A53"/>
    <w:pPr>
      <w:tabs>
        <w:tab w:val="center" w:pos="4680"/>
        <w:tab w:val="right" w:pos="9360"/>
      </w:tabs>
    </w:pPr>
  </w:style>
  <w:style w:type="character" w:customStyle="1" w:styleId="HeaderChar">
    <w:name w:val="Header Char"/>
    <w:basedOn w:val="DefaultParagraphFont"/>
    <w:link w:val="Header"/>
    <w:uiPriority w:val="99"/>
    <w:rsid w:val="00462BBF"/>
    <w:rPr>
      <w:sz w:val="24"/>
      <w:szCs w:val="24"/>
      <w:lang w:val="en-US"/>
    </w:rPr>
  </w:style>
  <w:style w:type="character" w:styleId="CommentReference">
    <w:name w:val="annotation reference"/>
    <w:uiPriority w:val="99"/>
    <w:semiHidden/>
    <w:rsid w:val="00940A53"/>
    <w:rPr>
      <w:sz w:val="18"/>
    </w:rPr>
  </w:style>
  <w:style w:type="character" w:styleId="LineNumber">
    <w:name w:val="line number"/>
    <w:basedOn w:val="DefaultParagraphFont"/>
    <w:uiPriority w:val="99"/>
    <w:unhideWhenUsed/>
    <w:rsid w:val="00940A53"/>
  </w:style>
  <w:style w:type="paragraph" w:styleId="List">
    <w:name w:val="List"/>
    <w:basedOn w:val="Normal"/>
    <w:uiPriority w:val="99"/>
    <w:semiHidden/>
    <w:unhideWhenUsed/>
    <w:rsid w:val="00940A53"/>
    <w:pPr>
      <w:ind w:left="360" w:hanging="360"/>
      <w:contextualSpacing/>
    </w:pPr>
  </w:style>
  <w:style w:type="paragraph" w:styleId="List3">
    <w:name w:val="List 3"/>
    <w:basedOn w:val="Normal"/>
    <w:uiPriority w:val="99"/>
    <w:semiHidden/>
    <w:unhideWhenUsed/>
    <w:rsid w:val="00940A53"/>
    <w:pPr>
      <w:ind w:left="1080" w:hanging="360"/>
      <w:contextualSpacing/>
    </w:pPr>
  </w:style>
  <w:style w:type="paragraph" w:styleId="ListBullet3">
    <w:name w:val="List Bullet 3"/>
    <w:basedOn w:val="Normal"/>
    <w:uiPriority w:val="99"/>
    <w:semiHidden/>
    <w:unhideWhenUsed/>
    <w:rsid w:val="00940A53"/>
    <w:pPr>
      <w:numPr>
        <w:numId w:val="26"/>
      </w:numPr>
      <w:contextualSpacing/>
    </w:pPr>
  </w:style>
  <w:style w:type="paragraph" w:styleId="ListBullet4">
    <w:name w:val="List Bullet 4"/>
    <w:basedOn w:val="Normal"/>
    <w:uiPriority w:val="99"/>
    <w:semiHidden/>
    <w:unhideWhenUsed/>
    <w:rsid w:val="00940A53"/>
    <w:pPr>
      <w:numPr>
        <w:numId w:val="27"/>
      </w:numPr>
      <w:contextualSpacing/>
    </w:pPr>
  </w:style>
  <w:style w:type="paragraph" w:styleId="ListNumber2">
    <w:name w:val="List Number 2"/>
    <w:basedOn w:val="Normal"/>
    <w:uiPriority w:val="99"/>
    <w:semiHidden/>
    <w:unhideWhenUsed/>
    <w:rsid w:val="00940A53"/>
    <w:pPr>
      <w:numPr>
        <w:numId w:val="28"/>
      </w:numPr>
      <w:contextualSpacing/>
    </w:pPr>
  </w:style>
  <w:style w:type="paragraph" w:styleId="ListNumber3">
    <w:name w:val="List Number 3"/>
    <w:basedOn w:val="Normal"/>
    <w:uiPriority w:val="99"/>
    <w:semiHidden/>
    <w:unhideWhenUsed/>
    <w:rsid w:val="00940A53"/>
    <w:pPr>
      <w:numPr>
        <w:numId w:val="29"/>
      </w:numPr>
      <w:contextualSpacing/>
    </w:pPr>
  </w:style>
  <w:style w:type="paragraph" w:styleId="ListContinue">
    <w:name w:val="List Continue"/>
    <w:basedOn w:val="Normal"/>
    <w:uiPriority w:val="99"/>
    <w:semiHidden/>
    <w:unhideWhenUsed/>
    <w:rsid w:val="00940A53"/>
    <w:pPr>
      <w:spacing w:after="120"/>
      <w:ind w:left="360"/>
      <w:contextualSpacing/>
    </w:pPr>
  </w:style>
  <w:style w:type="paragraph" w:styleId="ListContinue2">
    <w:name w:val="List Continue 2"/>
    <w:basedOn w:val="Normal"/>
    <w:uiPriority w:val="99"/>
    <w:semiHidden/>
    <w:unhideWhenUsed/>
    <w:rsid w:val="00940A53"/>
    <w:pPr>
      <w:spacing w:after="120"/>
      <w:ind w:left="720"/>
      <w:contextualSpacing/>
    </w:pPr>
  </w:style>
  <w:style w:type="paragraph" w:styleId="CommentSubject">
    <w:name w:val="annotation subject"/>
    <w:basedOn w:val="CommentText"/>
    <w:next w:val="CommentText"/>
    <w:link w:val="CommentSubjectChar"/>
    <w:uiPriority w:val="99"/>
    <w:semiHidden/>
    <w:unhideWhenUsed/>
    <w:rsid w:val="00940A53"/>
    <w:rPr>
      <w:b/>
      <w:bCs/>
    </w:rPr>
  </w:style>
  <w:style w:type="character" w:customStyle="1" w:styleId="CommentSubjectChar">
    <w:name w:val="Comment Subject Char"/>
    <w:basedOn w:val="CommentTextChar"/>
    <w:link w:val="CommentSubject"/>
    <w:uiPriority w:val="99"/>
    <w:semiHidden/>
    <w:rsid w:val="00940A53"/>
    <w:rPr>
      <w:rFonts w:ascii="Calibri" w:eastAsia="Calibri" w:hAnsi="Calibri"/>
      <w:b/>
      <w:bCs/>
    </w:rPr>
  </w:style>
  <w:style w:type="paragraph" w:styleId="BalloonText">
    <w:name w:val="Balloon Text"/>
    <w:basedOn w:val="Normal"/>
    <w:link w:val="BalloonTextChar"/>
    <w:uiPriority w:val="99"/>
    <w:semiHidden/>
    <w:unhideWhenUsed/>
    <w:rsid w:val="00940A53"/>
    <w:rPr>
      <w:rFonts w:ascii="Tahoma" w:hAnsi="Tahoma" w:cs="Tahoma"/>
      <w:sz w:val="16"/>
      <w:szCs w:val="16"/>
    </w:rPr>
  </w:style>
  <w:style w:type="character" w:customStyle="1" w:styleId="BalloonTextChar">
    <w:name w:val="Balloon Text Char"/>
    <w:basedOn w:val="DefaultParagraphFont"/>
    <w:link w:val="BalloonText"/>
    <w:uiPriority w:val="99"/>
    <w:semiHidden/>
    <w:rsid w:val="00462BBF"/>
    <w:rPr>
      <w:rFonts w:ascii="Tahoma" w:hAnsi="Tahoma" w:cs="Tahoma"/>
      <w:sz w:val="16"/>
      <w:szCs w:val="16"/>
      <w:lang w:val="en-US"/>
    </w:rPr>
  </w:style>
  <w:style w:type="paragraph" w:styleId="Quote">
    <w:name w:val="Quote"/>
    <w:basedOn w:val="Normal"/>
    <w:next w:val="Normal"/>
    <w:link w:val="QuoteChar"/>
    <w:uiPriority w:val="29"/>
    <w:semiHidden/>
    <w:unhideWhenUsed/>
    <w:qFormat/>
    <w:rsid w:val="00940A53"/>
    <w:rPr>
      <w:i/>
      <w:iCs/>
      <w:color w:val="000000" w:themeColor="text1"/>
    </w:rPr>
  </w:style>
  <w:style w:type="character" w:customStyle="1" w:styleId="QuoteChar">
    <w:name w:val="Quote Char"/>
    <w:basedOn w:val="DefaultParagraphFont"/>
    <w:link w:val="Quote"/>
    <w:uiPriority w:val="29"/>
    <w:semiHidden/>
    <w:rsid w:val="00462BBF"/>
    <w:rPr>
      <w:i/>
      <w:iCs/>
      <w:color w:val="000000" w:themeColor="text1"/>
      <w:sz w:val="24"/>
      <w:szCs w:val="24"/>
      <w:lang w:val="en-US"/>
    </w:rPr>
  </w:style>
  <w:style w:type="paragraph" w:customStyle="1" w:styleId="CoverPageName">
    <w:name w:val="CoverPage Name"/>
    <w:basedOn w:val="Normal"/>
    <w:semiHidden/>
    <w:unhideWhenUsed/>
    <w:qFormat/>
    <w:rsid w:val="00940A53"/>
    <w:pPr>
      <w:spacing w:before="240" w:after="60" w:line="288" w:lineRule="auto"/>
      <w:ind w:left="1440"/>
    </w:pPr>
    <w:rPr>
      <w:rFonts w:ascii="Tahoma" w:eastAsia="Times New Roman" w:hAnsi="Tahoma" w:cs="Tahoma"/>
      <w:b/>
      <w:sz w:val="56"/>
      <w:szCs w:val="56"/>
    </w:rPr>
  </w:style>
  <w:style w:type="character" w:customStyle="1" w:styleId="st1">
    <w:name w:val="st1"/>
    <w:basedOn w:val="DefaultParagraphFont"/>
    <w:semiHidden/>
    <w:unhideWhenUsed/>
    <w:rsid w:val="00940A53"/>
  </w:style>
  <w:style w:type="character" w:customStyle="1" w:styleId="A2">
    <w:name w:val="A2"/>
    <w:uiPriority w:val="99"/>
    <w:semiHidden/>
    <w:unhideWhenUsed/>
    <w:rsid w:val="00940A53"/>
    <w:rPr>
      <w:rFonts w:cs="Arial"/>
      <w:color w:val="000000"/>
      <w:sz w:val="14"/>
      <w:szCs w:val="14"/>
    </w:rPr>
  </w:style>
  <w:style w:type="numbering" w:customStyle="1" w:styleId="NoList1">
    <w:name w:val="No List1"/>
    <w:next w:val="NoList"/>
    <w:uiPriority w:val="99"/>
    <w:semiHidden/>
    <w:unhideWhenUsed/>
    <w:rsid w:val="00940A53"/>
  </w:style>
  <w:style w:type="table" w:customStyle="1" w:styleId="TableGrid1">
    <w:name w:val="Table Grid1"/>
    <w:basedOn w:val="TableNormal"/>
    <w:next w:val="TableGrid"/>
    <w:uiPriority w:val="59"/>
    <w:rsid w:val="00940A53"/>
    <w:rPr>
      <w:rFonts w:ascii="Calibri" w:eastAsia="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semiHidden/>
    <w:unhideWhenUsed/>
    <w:rsid w:val="00940A53"/>
  </w:style>
  <w:style w:type="character" w:customStyle="1" w:styleId="BoldItalic">
    <w:name w:val="BoldItalic"/>
    <w:basedOn w:val="DefaultParagraphFont"/>
    <w:uiPriority w:val="1"/>
    <w:qFormat/>
    <w:rsid w:val="001D08AF"/>
    <w:rPr>
      <w:b/>
      <w:i/>
    </w:rPr>
  </w:style>
  <w:style w:type="character" w:customStyle="1" w:styleId="BoldUnderline">
    <w:name w:val="BoldUnderline"/>
    <w:basedOn w:val="DefaultParagraphFont"/>
    <w:uiPriority w:val="1"/>
    <w:rsid w:val="008728D5"/>
    <w:rPr>
      <w:b/>
      <w:u w:val="single"/>
    </w:rPr>
  </w:style>
  <w:style w:type="paragraph" w:customStyle="1" w:styleId="Default">
    <w:name w:val="Default"/>
    <w:rsid w:val="0067334C"/>
    <w:pPr>
      <w:autoSpaceDE w:val="0"/>
      <w:autoSpaceDN w:val="0"/>
      <w:adjustRightInd w:val="0"/>
    </w:pPr>
    <w:rPr>
      <w:rFonts w:ascii="Helvetica 55 Roman" w:eastAsiaTheme="minorHAnsi" w:hAnsi="Helvetica 55 Roman" w:cs="Helvetica 55 Roman"/>
      <w:color w:val="000000"/>
      <w:sz w:val="24"/>
      <w:szCs w:val="24"/>
      <w:lang w:val="en-US"/>
    </w:rPr>
  </w:style>
  <w:style w:type="paragraph" w:customStyle="1" w:styleId="Pa4">
    <w:name w:val="Pa4"/>
    <w:basedOn w:val="Default"/>
    <w:next w:val="Default"/>
    <w:uiPriority w:val="99"/>
    <w:rsid w:val="0067334C"/>
    <w:pPr>
      <w:spacing w:line="181" w:lineRule="atLeast"/>
    </w:pPr>
    <w:rPr>
      <w:rFonts w:cstheme="minorBidi"/>
      <w:color w:val="auto"/>
    </w:rPr>
  </w:style>
  <w:style w:type="paragraph" w:styleId="HTMLPreformatted">
    <w:name w:val="HTML Preformatted"/>
    <w:basedOn w:val="Normal"/>
    <w:link w:val="HTMLPreformattedChar"/>
    <w:uiPriority w:val="99"/>
    <w:semiHidden/>
    <w:unhideWhenUsed/>
    <w:rsid w:val="0067334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7334C"/>
    <w:rPr>
      <w:rFonts w:ascii="Consolas" w:eastAsiaTheme="minorHAnsi" w:hAnsi="Consolas" w:cs="Consolas"/>
      <w:lang w:val="en-US"/>
    </w:rPr>
  </w:style>
  <w:style w:type="paragraph" w:customStyle="1" w:styleId="bodytext0">
    <w:name w:val="bodytext"/>
    <w:basedOn w:val="Normal"/>
    <w:rsid w:val="0067334C"/>
    <w:pPr>
      <w:spacing w:before="100" w:beforeAutospacing="1" w:after="100" w:afterAutospacing="1"/>
    </w:pPr>
    <w:rPr>
      <w:rFonts w:ascii="Times New Roman" w:eastAsia="Times New Roman" w:hAnsi="Times New Roman"/>
    </w:rPr>
  </w:style>
  <w:style w:type="character" w:customStyle="1" w:styleId="hl">
    <w:name w:val="hl"/>
    <w:basedOn w:val="DefaultParagraphFont"/>
    <w:rsid w:val="00B94FA0"/>
  </w:style>
  <w:style w:type="paragraph" w:styleId="Caption">
    <w:name w:val="caption"/>
    <w:basedOn w:val="Normal"/>
    <w:next w:val="Normal"/>
    <w:uiPriority w:val="35"/>
    <w:unhideWhenUsed/>
    <w:qFormat/>
    <w:rsid w:val="007A76EC"/>
    <w:pPr>
      <w:spacing w:after="200"/>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C5"/>
    <w:rPr>
      <w:sz w:val="24"/>
      <w:szCs w:val="24"/>
      <w:lang w:val="en-US"/>
    </w:rPr>
  </w:style>
  <w:style w:type="paragraph" w:styleId="Heading1">
    <w:name w:val="heading 1"/>
    <w:basedOn w:val="Normal"/>
    <w:next w:val="Normal"/>
    <w:link w:val="Heading1Char"/>
    <w:uiPriority w:val="9"/>
    <w:qFormat/>
    <w:rsid w:val="001D08AF"/>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uiPriority w:val="9"/>
    <w:qFormat/>
    <w:rsid w:val="001D08AF"/>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uiPriority w:val="9"/>
    <w:qFormat/>
    <w:rsid w:val="001D08AF"/>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iPriority w:val="9"/>
    <w:semiHidden/>
    <w:unhideWhenUsed/>
    <w:qFormat/>
    <w:rsid w:val="00940A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A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A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A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A5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40A5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AF"/>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uiPriority w:val="9"/>
    <w:rsid w:val="001D08AF"/>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uiPriority w:val="9"/>
    <w:rsid w:val="001D08AF"/>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uiPriority w:val="9"/>
    <w:semiHidden/>
    <w:rsid w:val="00462BBF"/>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462BBF"/>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462BBF"/>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462BBF"/>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462BBF"/>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semiHidden/>
    <w:rsid w:val="00462BBF"/>
    <w:rPr>
      <w:rFonts w:asciiTheme="majorHAnsi" w:eastAsiaTheme="majorEastAsia" w:hAnsiTheme="majorHAnsi" w:cstheme="majorBidi"/>
      <w:i/>
      <w:iCs/>
      <w:color w:val="404040" w:themeColor="text1" w:themeTint="BF"/>
      <w:sz w:val="24"/>
      <w:szCs w:val="24"/>
      <w:lang w:val="en-US"/>
    </w:rPr>
  </w:style>
  <w:style w:type="paragraph" w:styleId="TOC1">
    <w:name w:val="toc 1"/>
    <w:basedOn w:val="Normal"/>
    <w:next w:val="Normal"/>
    <w:autoRedefine/>
    <w:uiPriority w:val="39"/>
    <w:semiHidden/>
    <w:unhideWhenUsed/>
    <w:rsid w:val="00940A53"/>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940A53"/>
    <w:rPr>
      <w:sz w:val="22"/>
      <w:szCs w:val="22"/>
    </w:rPr>
  </w:style>
  <w:style w:type="paragraph" w:styleId="TOC3">
    <w:name w:val="toc 3"/>
    <w:basedOn w:val="Normal"/>
    <w:next w:val="Normal"/>
    <w:autoRedefine/>
    <w:uiPriority w:val="39"/>
    <w:semiHidden/>
    <w:unhideWhenUsed/>
    <w:rsid w:val="00940A53"/>
    <w:pPr>
      <w:ind w:left="240"/>
    </w:pPr>
    <w:rPr>
      <w:i/>
      <w:sz w:val="22"/>
      <w:szCs w:val="22"/>
    </w:rPr>
  </w:style>
  <w:style w:type="paragraph" w:styleId="TOC4">
    <w:name w:val="toc 4"/>
    <w:basedOn w:val="Normal"/>
    <w:next w:val="Normal"/>
    <w:autoRedefine/>
    <w:uiPriority w:val="39"/>
    <w:semiHidden/>
    <w:unhideWhenUsed/>
    <w:rsid w:val="00940A53"/>
    <w:pPr>
      <w:pBdr>
        <w:between w:val="double" w:sz="6" w:space="0" w:color="auto"/>
      </w:pBdr>
      <w:ind w:left="480"/>
    </w:pPr>
  </w:style>
  <w:style w:type="paragraph" w:styleId="TOC5">
    <w:name w:val="toc 5"/>
    <w:basedOn w:val="Normal"/>
    <w:next w:val="Normal"/>
    <w:autoRedefine/>
    <w:uiPriority w:val="39"/>
    <w:semiHidden/>
    <w:unhideWhenUsed/>
    <w:rsid w:val="00940A53"/>
    <w:pPr>
      <w:pBdr>
        <w:between w:val="double" w:sz="6" w:space="0" w:color="auto"/>
      </w:pBdr>
      <w:ind w:left="720"/>
    </w:pPr>
  </w:style>
  <w:style w:type="paragraph" w:styleId="TOC6">
    <w:name w:val="toc 6"/>
    <w:basedOn w:val="Normal"/>
    <w:next w:val="Normal"/>
    <w:autoRedefine/>
    <w:uiPriority w:val="39"/>
    <w:semiHidden/>
    <w:unhideWhenUsed/>
    <w:rsid w:val="00940A53"/>
    <w:pPr>
      <w:pBdr>
        <w:between w:val="double" w:sz="6" w:space="0" w:color="auto"/>
      </w:pBdr>
      <w:ind w:left="960"/>
    </w:pPr>
  </w:style>
  <w:style w:type="paragraph" w:styleId="TOC7">
    <w:name w:val="toc 7"/>
    <w:basedOn w:val="Normal"/>
    <w:next w:val="Normal"/>
    <w:autoRedefine/>
    <w:uiPriority w:val="39"/>
    <w:semiHidden/>
    <w:unhideWhenUsed/>
    <w:rsid w:val="00940A53"/>
    <w:pPr>
      <w:pBdr>
        <w:between w:val="double" w:sz="6" w:space="0" w:color="auto"/>
      </w:pBdr>
      <w:ind w:left="1200"/>
    </w:pPr>
  </w:style>
  <w:style w:type="paragraph" w:styleId="TOC8">
    <w:name w:val="toc 8"/>
    <w:basedOn w:val="Normal"/>
    <w:next w:val="Normal"/>
    <w:autoRedefine/>
    <w:uiPriority w:val="39"/>
    <w:semiHidden/>
    <w:unhideWhenUsed/>
    <w:rsid w:val="00940A53"/>
    <w:pPr>
      <w:pBdr>
        <w:between w:val="double" w:sz="6" w:space="0" w:color="auto"/>
      </w:pBdr>
      <w:ind w:left="1440"/>
    </w:pPr>
  </w:style>
  <w:style w:type="paragraph" w:styleId="FootnoteText">
    <w:name w:val="footnote text"/>
    <w:basedOn w:val="Normal"/>
    <w:link w:val="FootnoteTextChar"/>
    <w:semiHidden/>
    <w:rsid w:val="00940A53"/>
    <w:rPr>
      <w:rFonts w:ascii="Times New Roman" w:eastAsia="Times New Roman" w:hAnsi="Times New Roman"/>
    </w:rPr>
  </w:style>
  <w:style w:type="character" w:customStyle="1" w:styleId="FootnoteTextChar">
    <w:name w:val="Footnote Text Char"/>
    <w:basedOn w:val="DefaultParagraphFont"/>
    <w:link w:val="FootnoteText"/>
    <w:semiHidden/>
    <w:rsid w:val="00940A53"/>
    <w:rPr>
      <w:rFonts w:ascii="Times New Roman" w:eastAsia="Times New Roman" w:hAnsi="Times New Roman" w:cstheme="minorBidi"/>
      <w:sz w:val="24"/>
      <w:szCs w:val="24"/>
      <w:lang w:val="en-US"/>
    </w:rPr>
  </w:style>
  <w:style w:type="paragraph" w:styleId="Footer">
    <w:name w:val="footer"/>
    <w:basedOn w:val="Normal"/>
    <w:link w:val="FooterChar"/>
    <w:uiPriority w:val="99"/>
    <w:unhideWhenUsed/>
    <w:rsid w:val="001D08AF"/>
    <w:pPr>
      <w:tabs>
        <w:tab w:val="center" w:pos="4680"/>
        <w:tab w:val="right" w:pos="9360"/>
      </w:tabs>
    </w:pPr>
  </w:style>
  <w:style w:type="character" w:customStyle="1" w:styleId="FooterChar">
    <w:name w:val="Footer Char"/>
    <w:basedOn w:val="DefaultParagraphFont"/>
    <w:link w:val="Footer"/>
    <w:uiPriority w:val="99"/>
    <w:rsid w:val="00462BBF"/>
    <w:rPr>
      <w:sz w:val="24"/>
      <w:szCs w:val="24"/>
      <w:lang w:val="en-US"/>
    </w:rPr>
  </w:style>
  <w:style w:type="paragraph" w:styleId="TableofFigures">
    <w:name w:val="table of figures"/>
    <w:basedOn w:val="Normal"/>
    <w:next w:val="Normal"/>
    <w:uiPriority w:val="99"/>
    <w:semiHidden/>
    <w:unhideWhenUsed/>
    <w:rsid w:val="001D08AF"/>
  </w:style>
  <w:style w:type="character" w:styleId="FootnoteReference">
    <w:name w:val="footnote reference"/>
    <w:semiHidden/>
    <w:rsid w:val="00940A53"/>
    <w:rPr>
      <w:vertAlign w:val="superscript"/>
    </w:rPr>
  </w:style>
  <w:style w:type="character" w:styleId="EndnoteReference">
    <w:name w:val="endnote reference"/>
    <w:basedOn w:val="DefaultParagraphFont"/>
    <w:uiPriority w:val="99"/>
    <w:rsid w:val="001D08AF"/>
    <w:rPr>
      <w:vertAlign w:val="superscript"/>
    </w:rPr>
  </w:style>
  <w:style w:type="paragraph" w:styleId="EndnoteText">
    <w:name w:val="endnote text"/>
    <w:basedOn w:val="Normal"/>
    <w:link w:val="EndnoteTextChar"/>
    <w:uiPriority w:val="99"/>
    <w:rsid w:val="001D08AF"/>
    <w:rPr>
      <w:sz w:val="20"/>
      <w:szCs w:val="20"/>
    </w:rPr>
  </w:style>
  <w:style w:type="character" w:customStyle="1" w:styleId="EndnoteTextChar">
    <w:name w:val="Endnote Text Char"/>
    <w:basedOn w:val="DefaultParagraphFont"/>
    <w:link w:val="EndnoteText"/>
    <w:uiPriority w:val="99"/>
    <w:rsid w:val="001D08AF"/>
    <w:rPr>
      <w:rFonts w:eastAsia="Cambria"/>
      <w:lang w:val="en-US"/>
    </w:rPr>
  </w:style>
  <w:style w:type="paragraph" w:styleId="TableofAuthorities">
    <w:name w:val="table of authorities"/>
    <w:basedOn w:val="Normal"/>
    <w:next w:val="Normal"/>
    <w:uiPriority w:val="99"/>
    <w:semiHidden/>
    <w:unhideWhenUsed/>
    <w:rsid w:val="001D08AF"/>
    <w:pPr>
      <w:ind w:left="240" w:hanging="240"/>
    </w:pPr>
  </w:style>
  <w:style w:type="paragraph" w:styleId="ListBullet">
    <w:name w:val="List Bullet"/>
    <w:basedOn w:val="Normal"/>
    <w:uiPriority w:val="99"/>
    <w:rsid w:val="00940A53"/>
    <w:pPr>
      <w:numPr>
        <w:numId w:val="24"/>
      </w:numPr>
      <w:contextualSpacing/>
    </w:pPr>
  </w:style>
  <w:style w:type="paragraph" w:styleId="ListNumber">
    <w:name w:val="List Number"/>
    <w:basedOn w:val="Normal"/>
    <w:uiPriority w:val="99"/>
    <w:rsid w:val="001D08AF"/>
    <w:pPr>
      <w:numPr>
        <w:numId w:val="30"/>
      </w:numPr>
      <w:spacing w:before="100" w:after="100"/>
      <w:contextualSpacing/>
      <w:jc w:val="both"/>
    </w:pPr>
  </w:style>
  <w:style w:type="paragraph" w:styleId="ListBullet2">
    <w:name w:val="List Bullet 2"/>
    <w:basedOn w:val="Normal"/>
    <w:uiPriority w:val="99"/>
    <w:semiHidden/>
    <w:unhideWhenUsed/>
    <w:rsid w:val="00940A53"/>
    <w:pPr>
      <w:numPr>
        <w:numId w:val="25"/>
      </w:numPr>
      <w:contextualSpacing/>
    </w:pPr>
  </w:style>
  <w:style w:type="paragraph" w:styleId="Title">
    <w:name w:val="Title"/>
    <w:basedOn w:val="Normal"/>
    <w:next w:val="Normal"/>
    <w:link w:val="TitleChar"/>
    <w:uiPriority w:val="10"/>
    <w:qFormat/>
    <w:rsid w:val="001D08AF"/>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1D08AF"/>
    <w:rPr>
      <w:rFonts w:ascii="Calibri" w:eastAsiaTheme="majorEastAsia" w:hAnsi="Calibri" w:cstheme="majorBidi"/>
      <w:color w:val="183A63"/>
      <w:spacing w:val="5"/>
      <w:kern w:val="28"/>
      <w:sz w:val="52"/>
      <w:szCs w:val="52"/>
      <w:lang w:val="en-US"/>
    </w:rPr>
  </w:style>
  <w:style w:type="paragraph" w:styleId="BodyText">
    <w:name w:val="Body Text"/>
    <w:basedOn w:val="Normal"/>
    <w:link w:val="BodyTextChar"/>
    <w:uiPriority w:val="99"/>
    <w:semiHidden/>
    <w:unhideWhenUsed/>
    <w:rsid w:val="00940A53"/>
    <w:pPr>
      <w:spacing w:after="120"/>
    </w:pPr>
  </w:style>
  <w:style w:type="character" w:customStyle="1" w:styleId="BodyTextChar">
    <w:name w:val="Body Text Char"/>
    <w:basedOn w:val="DefaultParagraphFont"/>
    <w:link w:val="BodyText"/>
    <w:uiPriority w:val="99"/>
    <w:semiHidden/>
    <w:rsid w:val="00462BBF"/>
    <w:rPr>
      <w:sz w:val="24"/>
      <w:szCs w:val="24"/>
      <w:lang w:val="en-US"/>
    </w:rPr>
  </w:style>
  <w:style w:type="paragraph" w:styleId="BodyTextIndent">
    <w:name w:val="Body Text Indent"/>
    <w:basedOn w:val="Normal"/>
    <w:link w:val="BodyTextIndentChar"/>
    <w:uiPriority w:val="99"/>
    <w:unhideWhenUsed/>
    <w:rsid w:val="00940A53"/>
    <w:pPr>
      <w:spacing w:after="120"/>
      <w:ind w:left="360"/>
    </w:pPr>
  </w:style>
  <w:style w:type="character" w:customStyle="1" w:styleId="BodyTextIndentChar">
    <w:name w:val="Body Text Indent Char"/>
    <w:basedOn w:val="DefaultParagraphFont"/>
    <w:link w:val="BodyTextIndent"/>
    <w:uiPriority w:val="99"/>
    <w:rsid w:val="00462BBF"/>
    <w:rPr>
      <w:sz w:val="24"/>
      <w:szCs w:val="24"/>
      <w:lang w:val="en-US"/>
    </w:rPr>
  </w:style>
  <w:style w:type="paragraph" w:styleId="Subtitle">
    <w:name w:val="Subtitle"/>
    <w:basedOn w:val="Normal"/>
    <w:next w:val="Normal"/>
    <w:link w:val="SubtitleChar"/>
    <w:uiPriority w:val="11"/>
    <w:semiHidden/>
    <w:unhideWhenUsed/>
    <w:qFormat/>
    <w:rsid w:val="00940A5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462BBF"/>
    <w:rPr>
      <w:rFonts w:asciiTheme="majorHAnsi" w:eastAsiaTheme="majorEastAsia" w:hAnsiTheme="majorHAnsi" w:cstheme="majorBidi"/>
      <w:i/>
      <w:iCs/>
      <w:color w:val="4F81BD" w:themeColor="accent1"/>
      <w:spacing w:val="15"/>
      <w:sz w:val="24"/>
      <w:szCs w:val="24"/>
      <w:lang w:val="en-US"/>
    </w:rPr>
  </w:style>
  <w:style w:type="paragraph" w:styleId="BodyTextFirstIndent">
    <w:name w:val="Body Text First Indent"/>
    <w:basedOn w:val="BodyText"/>
    <w:link w:val="BodyTextFirstIndentChar"/>
    <w:uiPriority w:val="99"/>
    <w:rsid w:val="001D08AF"/>
    <w:pPr>
      <w:spacing w:before="120"/>
      <w:ind w:firstLine="360"/>
      <w:jc w:val="both"/>
    </w:pPr>
  </w:style>
  <w:style w:type="character" w:customStyle="1" w:styleId="BodyTextFirstIndentChar">
    <w:name w:val="Body Text First Indent Char"/>
    <w:basedOn w:val="BodyTextChar"/>
    <w:link w:val="BodyTextFirstIndent"/>
    <w:uiPriority w:val="99"/>
    <w:rsid w:val="001D08AF"/>
    <w:rPr>
      <w:rFonts w:eastAsia="Cambria"/>
      <w:sz w:val="24"/>
      <w:szCs w:val="24"/>
      <w:lang w:val="en-US"/>
    </w:rPr>
  </w:style>
  <w:style w:type="paragraph" w:styleId="BodyTextFirstIndent2">
    <w:name w:val="Body Text First Indent 2"/>
    <w:basedOn w:val="BodyTextIndent"/>
    <w:link w:val="BodyTextFirstIndent2Char"/>
    <w:uiPriority w:val="99"/>
    <w:semiHidden/>
    <w:unhideWhenUsed/>
    <w:rsid w:val="00940A53"/>
    <w:pPr>
      <w:spacing w:after="0"/>
      <w:ind w:firstLine="360"/>
    </w:pPr>
  </w:style>
  <w:style w:type="character" w:customStyle="1" w:styleId="BodyTextFirstIndent2Char">
    <w:name w:val="Body Text First Indent 2 Char"/>
    <w:basedOn w:val="BodyTextIndentChar"/>
    <w:link w:val="BodyTextFirstIndent2"/>
    <w:uiPriority w:val="99"/>
    <w:semiHidden/>
    <w:rsid w:val="00462BBF"/>
    <w:rPr>
      <w:sz w:val="24"/>
      <w:szCs w:val="24"/>
      <w:lang w:val="en-US"/>
    </w:rPr>
  </w:style>
  <w:style w:type="paragraph" w:styleId="BodyText2">
    <w:name w:val="Body Text 2"/>
    <w:basedOn w:val="Normal"/>
    <w:link w:val="BodyText2Char"/>
    <w:uiPriority w:val="99"/>
    <w:semiHidden/>
    <w:unhideWhenUsed/>
    <w:rsid w:val="00940A53"/>
    <w:pPr>
      <w:spacing w:after="120" w:line="480" w:lineRule="auto"/>
    </w:pPr>
  </w:style>
  <w:style w:type="character" w:customStyle="1" w:styleId="BodyText2Char">
    <w:name w:val="Body Text 2 Char"/>
    <w:basedOn w:val="DefaultParagraphFont"/>
    <w:link w:val="BodyText2"/>
    <w:uiPriority w:val="99"/>
    <w:semiHidden/>
    <w:rsid w:val="00462BBF"/>
    <w:rPr>
      <w:sz w:val="24"/>
      <w:szCs w:val="24"/>
      <w:lang w:val="en-US"/>
    </w:rPr>
  </w:style>
  <w:style w:type="paragraph" w:styleId="BodyText3">
    <w:name w:val="Body Text 3"/>
    <w:basedOn w:val="Normal"/>
    <w:link w:val="BodyText3Char"/>
    <w:uiPriority w:val="99"/>
    <w:semiHidden/>
    <w:unhideWhenUsed/>
    <w:rsid w:val="00940A53"/>
    <w:pPr>
      <w:spacing w:after="120"/>
    </w:pPr>
    <w:rPr>
      <w:sz w:val="16"/>
      <w:szCs w:val="16"/>
    </w:rPr>
  </w:style>
  <w:style w:type="character" w:customStyle="1" w:styleId="BodyText3Char">
    <w:name w:val="Body Text 3 Char"/>
    <w:basedOn w:val="DefaultParagraphFont"/>
    <w:link w:val="BodyText3"/>
    <w:uiPriority w:val="99"/>
    <w:semiHidden/>
    <w:rsid w:val="00462BBF"/>
    <w:rPr>
      <w:sz w:val="16"/>
      <w:szCs w:val="16"/>
      <w:lang w:val="en-US"/>
    </w:rPr>
  </w:style>
  <w:style w:type="paragraph" w:styleId="BlockText">
    <w:name w:val="Block Text"/>
    <w:basedOn w:val="Normal"/>
    <w:uiPriority w:val="99"/>
    <w:semiHidden/>
    <w:unhideWhenUsed/>
    <w:rsid w:val="00940A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Hyperlink">
    <w:name w:val="Hyperlink"/>
    <w:uiPriority w:val="99"/>
    <w:rsid w:val="001D08AF"/>
    <w:rPr>
      <w:color w:val="0000FF"/>
      <w:u w:val="single"/>
    </w:rPr>
  </w:style>
  <w:style w:type="character" w:styleId="FollowedHyperlink">
    <w:name w:val="FollowedHyperlink"/>
    <w:basedOn w:val="DefaultParagraphFont"/>
    <w:uiPriority w:val="99"/>
    <w:rsid w:val="001D08AF"/>
    <w:rPr>
      <w:color w:val="0070C0"/>
      <w:u w:val="single"/>
    </w:rPr>
  </w:style>
  <w:style w:type="character" w:styleId="Strong">
    <w:name w:val="Strong"/>
    <w:basedOn w:val="DefaultParagraphFont"/>
    <w:uiPriority w:val="22"/>
    <w:qFormat/>
    <w:rsid w:val="001D08AF"/>
    <w:rPr>
      <w:b/>
      <w:bCs/>
    </w:rPr>
  </w:style>
  <w:style w:type="character" w:styleId="Emphasis">
    <w:name w:val="Emphasis"/>
    <w:basedOn w:val="DefaultParagraphFont"/>
    <w:uiPriority w:val="20"/>
    <w:qFormat/>
    <w:rsid w:val="00940A53"/>
    <w:rPr>
      <w:i/>
      <w:iCs/>
    </w:rPr>
  </w:style>
  <w:style w:type="paragraph" w:styleId="PlainText">
    <w:name w:val="Plain Text"/>
    <w:basedOn w:val="Normal"/>
    <w:link w:val="PlainTextChar"/>
    <w:uiPriority w:val="99"/>
    <w:semiHidden/>
    <w:unhideWhenUsed/>
    <w:rsid w:val="00940A53"/>
    <w:rPr>
      <w:rFonts w:ascii="Calibri" w:hAnsi="Calibri"/>
      <w:sz w:val="22"/>
      <w:szCs w:val="21"/>
    </w:rPr>
  </w:style>
  <w:style w:type="character" w:customStyle="1" w:styleId="PlainTextChar">
    <w:name w:val="Plain Text Char"/>
    <w:basedOn w:val="DefaultParagraphFont"/>
    <w:link w:val="PlainText"/>
    <w:uiPriority w:val="99"/>
    <w:semiHidden/>
    <w:rsid w:val="00462BBF"/>
    <w:rPr>
      <w:rFonts w:ascii="Calibri" w:hAnsi="Calibri"/>
      <w:sz w:val="22"/>
      <w:szCs w:val="21"/>
      <w:lang w:val="en-US"/>
    </w:rPr>
  </w:style>
  <w:style w:type="paragraph" w:styleId="E-mailSignature">
    <w:name w:val="E-mail Signature"/>
    <w:basedOn w:val="Normal"/>
    <w:link w:val="E-mailSignatureChar"/>
    <w:uiPriority w:val="99"/>
    <w:rsid w:val="001D08AF"/>
  </w:style>
  <w:style w:type="character" w:customStyle="1" w:styleId="E-mailSignatureChar">
    <w:name w:val="E-mail Signature Char"/>
    <w:basedOn w:val="DefaultParagraphFont"/>
    <w:link w:val="E-mailSignature"/>
    <w:uiPriority w:val="99"/>
    <w:rsid w:val="001D08AF"/>
    <w:rPr>
      <w:rFonts w:eastAsia="Cambria"/>
      <w:sz w:val="24"/>
      <w:szCs w:val="24"/>
      <w:lang w:val="en-US"/>
    </w:rPr>
  </w:style>
  <w:style w:type="paragraph" w:styleId="NormalWeb">
    <w:name w:val="Normal (Web)"/>
    <w:basedOn w:val="Normal"/>
    <w:uiPriority w:val="99"/>
    <w:semiHidden/>
    <w:unhideWhenUsed/>
    <w:rsid w:val="00940A53"/>
    <w:pPr>
      <w:spacing w:before="100" w:beforeAutospacing="1" w:after="100" w:afterAutospacing="1"/>
    </w:pPr>
    <w:rPr>
      <w:rFonts w:ascii="Times New Roman" w:eastAsia="Times New Roman" w:hAnsi="Times New Roman"/>
    </w:rPr>
  </w:style>
  <w:style w:type="table" w:styleId="TableContemporary">
    <w:name w:val="Table Contemporary"/>
    <w:basedOn w:val="TableNormal"/>
    <w:uiPriority w:val="99"/>
    <w:unhideWhenUsed/>
    <w:rsid w:val="001D08AF"/>
    <w:rPr>
      <w:lang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1D08AF"/>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semiHidden/>
    <w:qFormat/>
    <w:rsid w:val="00940A53"/>
    <w:rPr>
      <w:lang w:val="en-US"/>
    </w:rPr>
  </w:style>
  <w:style w:type="paragraph" w:styleId="ListParagraph">
    <w:name w:val="List Paragraph"/>
    <w:basedOn w:val="Normal"/>
    <w:uiPriority w:val="34"/>
    <w:unhideWhenUsed/>
    <w:qFormat/>
    <w:rsid w:val="00940A53"/>
    <w:pPr>
      <w:spacing w:after="200" w:line="276" w:lineRule="auto"/>
      <w:ind w:left="720"/>
      <w:contextualSpacing/>
    </w:pPr>
    <w:rPr>
      <w:rFonts w:eastAsiaTheme="minorEastAsia"/>
      <w:sz w:val="22"/>
      <w:szCs w:val="22"/>
    </w:rPr>
  </w:style>
  <w:style w:type="character" w:styleId="SubtleEmphasis">
    <w:name w:val="Subtle Emphasis"/>
    <w:basedOn w:val="DefaultParagraphFont"/>
    <w:uiPriority w:val="19"/>
    <w:semiHidden/>
    <w:unhideWhenUsed/>
    <w:qFormat/>
    <w:rsid w:val="00940A53"/>
    <w:rPr>
      <w:i/>
      <w:iCs/>
      <w:color w:val="808080" w:themeColor="text1" w:themeTint="7F"/>
    </w:rPr>
  </w:style>
  <w:style w:type="character" w:styleId="IntenseEmphasis">
    <w:name w:val="Intense Emphasis"/>
    <w:basedOn w:val="DefaultParagraphFont"/>
    <w:uiPriority w:val="21"/>
    <w:semiHidden/>
    <w:unhideWhenUsed/>
    <w:qFormat/>
    <w:rsid w:val="001D08AF"/>
    <w:rPr>
      <w:b/>
      <w:bCs/>
      <w:i/>
      <w:iCs/>
      <w:color w:val="4F81BD"/>
    </w:rPr>
  </w:style>
  <w:style w:type="character" w:styleId="BookTitle">
    <w:name w:val="Book Title"/>
    <w:basedOn w:val="DefaultParagraphFont"/>
    <w:uiPriority w:val="33"/>
    <w:semiHidden/>
    <w:unhideWhenUsed/>
    <w:qFormat/>
    <w:rsid w:val="00940A53"/>
    <w:rPr>
      <w:b/>
      <w:bCs/>
      <w:smallCaps/>
      <w:spacing w:val="5"/>
    </w:rPr>
  </w:style>
  <w:style w:type="paragraph" w:styleId="Bibliography">
    <w:name w:val="Bibliography"/>
    <w:basedOn w:val="Normal"/>
    <w:next w:val="Normal"/>
    <w:uiPriority w:val="37"/>
    <w:semiHidden/>
    <w:unhideWhenUsed/>
    <w:rsid w:val="00940A53"/>
  </w:style>
  <w:style w:type="paragraph" w:customStyle="1" w:styleId="Article">
    <w:name w:val="Article"/>
    <w:basedOn w:val="Normal"/>
    <w:qFormat/>
    <w:rsid w:val="001D08AF"/>
    <w:rPr>
      <w:color w:val="262626"/>
    </w:rPr>
  </w:style>
  <w:style w:type="paragraph" w:customStyle="1" w:styleId="CustomReference">
    <w:name w:val="CustomReference"/>
    <w:basedOn w:val="ListNumber"/>
    <w:semiHidden/>
    <w:unhideWhenUsed/>
    <w:qFormat/>
    <w:rsid w:val="001D08AF"/>
    <w:pPr>
      <w:numPr>
        <w:numId w:val="0"/>
      </w:numPr>
    </w:pPr>
  </w:style>
  <w:style w:type="paragraph" w:customStyle="1" w:styleId="ImageStyle">
    <w:name w:val="ImageStyle"/>
    <w:basedOn w:val="Normal"/>
    <w:autoRedefine/>
    <w:qFormat/>
    <w:rsid w:val="00EC0941"/>
    <w:rPr>
      <w:b/>
      <w:bCs/>
      <w:noProof/>
      <w:lang w:val="en-IN" w:eastAsia="en-IN"/>
    </w:rPr>
  </w:style>
  <w:style w:type="paragraph" w:customStyle="1" w:styleId="ImageCaption">
    <w:name w:val="ImageCaption"/>
    <w:basedOn w:val="Normal"/>
    <w:qFormat/>
    <w:rsid w:val="001D08AF"/>
  </w:style>
  <w:style w:type="paragraph" w:customStyle="1" w:styleId="TableStyle">
    <w:name w:val="TableStyle"/>
    <w:basedOn w:val="Normal"/>
    <w:qFormat/>
    <w:rsid w:val="001D08AF"/>
    <w:rPr>
      <w:rFonts w:asciiTheme="minorHAnsi" w:eastAsiaTheme="minorHAnsi" w:hAnsiTheme="minorHAnsi" w:cstheme="minorBidi"/>
    </w:rPr>
  </w:style>
  <w:style w:type="paragraph" w:customStyle="1" w:styleId="TableCaption">
    <w:name w:val="TableCaption"/>
    <w:basedOn w:val="Normal"/>
    <w:qFormat/>
    <w:rsid w:val="001D08AF"/>
  </w:style>
  <w:style w:type="character" w:customStyle="1" w:styleId="Subscript">
    <w:name w:val="Subscript"/>
    <w:uiPriority w:val="1"/>
    <w:rsid w:val="001D08AF"/>
    <w:rPr>
      <w:vertAlign w:val="subscript"/>
      <w:lang w:val="en-IN"/>
    </w:rPr>
  </w:style>
  <w:style w:type="paragraph" w:styleId="Salutation">
    <w:name w:val="Salutation"/>
    <w:basedOn w:val="Normal"/>
    <w:next w:val="Normal"/>
    <w:link w:val="SalutationChar"/>
    <w:uiPriority w:val="99"/>
    <w:semiHidden/>
    <w:unhideWhenUsed/>
    <w:rsid w:val="001D08AF"/>
  </w:style>
  <w:style w:type="character" w:customStyle="1" w:styleId="SalutationChar">
    <w:name w:val="Salutation Char"/>
    <w:basedOn w:val="DefaultParagraphFont"/>
    <w:link w:val="Salutation"/>
    <w:uiPriority w:val="99"/>
    <w:semiHidden/>
    <w:rsid w:val="00462BBF"/>
    <w:rPr>
      <w:sz w:val="24"/>
      <w:szCs w:val="24"/>
      <w:lang w:val="en-US"/>
    </w:rPr>
  </w:style>
  <w:style w:type="paragraph" w:styleId="NoteHeading">
    <w:name w:val="Note Heading"/>
    <w:basedOn w:val="Normal"/>
    <w:next w:val="Normal"/>
    <w:link w:val="NoteHeadingChar"/>
    <w:uiPriority w:val="99"/>
    <w:semiHidden/>
    <w:unhideWhenUsed/>
    <w:rsid w:val="001D08AF"/>
  </w:style>
  <w:style w:type="character" w:customStyle="1" w:styleId="NoteHeadingChar">
    <w:name w:val="Note Heading Char"/>
    <w:basedOn w:val="DefaultParagraphFont"/>
    <w:link w:val="NoteHeading"/>
    <w:uiPriority w:val="99"/>
    <w:semiHidden/>
    <w:rsid w:val="00462BBF"/>
    <w:rPr>
      <w:sz w:val="24"/>
      <w:szCs w:val="24"/>
      <w:lang w:val="en-US"/>
    </w:rPr>
  </w:style>
  <w:style w:type="character" w:customStyle="1" w:styleId="Underline">
    <w:name w:val="Underline"/>
    <w:uiPriority w:val="1"/>
    <w:rsid w:val="001D08AF"/>
    <w:rPr>
      <w:u w:val="single"/>
    </w:rPr>
  </w:style>
  <w:style w:type="paragraph" w:styleId="TOC9">
    <w:name w:val="toc 9"/>
    <w:basedOn w:val="Normal"/>
    <w:next w:val="Normal"/>
    <w:autoRedefine/>
    <w:uiPriority w:val="39"/>
    <w:semiHidden/>
    <w:unhideWhenUsed/>
    <w:rsid w:val="00940A53"/>
    <w:pPr>
      <w:pBdr>
        <w:between w:val="double" w:sz="6" w:space="0" w:color="auto"/>
      </w:pBdr>
      <w:ind w:left="1680"/>
    </w:pPr>
  </w:style>
  <w:style w:type="paragraph" w:styleId="CommentText">
    <w:name w:val="annotation text"/>
    <w:basedOn w:val="Normal"/>
    <w:link w:val="CommentTextChar"/>
    <w:uiPriority w:val="99"/>
    <w:semiHidden/>
    <w:unhideWhenUsed/>
    <w:rsid w:val="00940A53"/>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940A53"/>
    <w:rPr>
      <w:rFonts w:ascii="Calibri" w:eastAsia="Calibri" w:hAnsi="Calibri"/>
    </w:rPr>
  </w:style>
  <w:style w:type="paragraph" w:styleId="Header">
    <w:name w:val="header"/>
    <w:basedOn w:val="Normal"/>
    <w:link w:val="HeaderChar"/>
    <w:uiPriority w:val="99"/>
    <w:unhideWhenUsed/>
    <w:rsid w:val="00940A53"/>
    <w:pPr>
      <w:tabs>
        <w:tab w:val="center" w:pos="4680"/>
        <w:tab w:val="right" w:pos="9360"/>
      </w:tabs>
    </w:pPr>
  </w:style>
  <w:style w:type="character" w:customStyle="1" w:styleId="HeaderChar">
    <w:name w:val="Header Char"/>
    <w:basedOn w:val="DefaultParagraphFont"/>
    <w:link w:val="Header"/>
    <w:uiPriority w:val="99"/>
    <w:rsid w:val="00462BBF"/>
    <w:rPr>
      <w:sz w:val="24"/>
      <w:szCs w:val="24"/>
      <w:lang w:val="en-US"/>
    </w:rPr>
  </w:style>
  <w:style w:type="character" w:styleId="CommentReference">
    <w:name w:val="annotation reference"/>
    <w:uiPriority w:val="99"/>
    <w:semiHidden/>
    <w:rsid w:val="00940A53"/>
    <w:rPr>
      <w:sz w:val="18"/>
    </w:rPr>
  </w:style>
  <w:style w:type="character" w:styleId="LineNumber">
    <w:name w:val="line number"/>
    <w:basedOn w:val="DefaultParagraphFont"/>
    <w:uiPriority w:val="99"/>
    <w:unhideWhenUsed/>
    <w:rsid w:val="00940A53"/>
  </w:style>
  <w:style w:type="paragraph" w:styleId="List">
    <w:name w:val="List"/>
    <w:basedOn w:val="Normal"/>
    <w:uiPriority w:val="99"/>
    <w:semiHidden/>
    <w:unhideWhenUsed/>
    <w:rsid w:val="00940A53"/>
    <w:pPr>
      <w:ind w:left="360" w:hanging="360"/>
      <w:contextualSpacing/>
    </w:pPr>
  </w:style>
  <w:style w:type="paragraph" w:styleId="List3">
    <w:name w:val="List 3"/>
    <w:basedOn w:val="Normal"/>
    <w:uiPriority w:val="99"/>
    <w:semiHidden/>
    <w:unhideWhenUsed/>
    <w:rsid w:val="00940A53"/>
    <w:pPr>
      <w:ind w:left="1080" w:hanging="360"/>
      <w:contextualSpacing/>
    </w:pPr>
  </w:style>
  <w:style w:type="paragraph" w:styleId="ListBullet3">
    <w:name w:val="List Bullet 3"/>
    <w:basedOn w:val="Normal"/>
    <w:uiPriority w:val="99"/>
    <w:semiHidden/>
    <w:unhideWhenUsed/>
    <w:rsid w:val="00940A53"/>
    <w:pPr>
      <w:numPr>
        <w:numId w:val="26"/>
      </w:numPr>
      <w:contextualSpacing/>
    </w:pPr>
  </w:style>
  <w:style w:type="paragraph" w:styleId="ListBullet4">
    <w:name w:val="List Bullet 4"/>
    <w:basedOn w:val="Normal"/>
    <w:uiPriority w:val="99"/>
    <w:semiHidden/>
    <w:unhideWhenUsed/>
    <w:rsid w:val="00940A53"/>
    <w:pPr>
      <w:numPr>
        <w:numId w:val="27"/>
      </w:numPr>
      <w:contextualSpacing/>
    </w:pPr>
  </w:style>
  <w:style w:type="paragraph" w:styleId="ListNumber2">
    <w:name w:val="List Number 2"/>
    <w:basedOn w:val="Normal"/>
    <w:uiPriority w:val="99"/>
    <w:semiHidden/>
    <w:unhideWhenUsed/>
    <w:rsid w:val="00940A53"/>
    <w:pPr>
      <w:numPr>
        <w:numId w:val="28"/>
      </w:numPr>
      <w:contextualSpacing/>
    </w:pPr>
  </w:style>
  <w:style w:type="paragraph" w:styleId="ListNumber3">
    <w:name w:val="List Number 3"/>
    <w:basedOn w:val="Normal"/>
    <w:uiPriority w:val="99"/>
    <w:semiHidden/>
    <w:unhideWhenUsed/>
    <w:rsid w:val="00940A53"/>
    <w:pPr>
      <w:numPr>
        <w:numId w:val="29"/>
      </w:numPr>
      <w:contextualSpacing/>
    </w:pPr>
  </w:style>
  <w:style w:type="paragraph" w:styleId="ListContinue">
    <w:name w:val="List Continue"/>
    <w:basedOn w:val="Normal"/>
    <w:uiPriority w:val="99"/>
    <w:semiHidden/>
    <w:unhideWhenUsed/>
    <w:rsid w:val="00940A53"/>
    <w:pPr>
      <w:spacing w:after="120"/>
      <w:ind w:left="360"/>
      <w:contextualSpacing/>
    </w:pPr>
  </w:style>
  <w:style w:type="paragraph" w:styleId="ListContinue2">
    <w:name w:val="List Continue 2"/>
    <w:basedOn w:val="Normal"/>
    <w:uiPriority w:val="99"/>
    <w:semiHidden/>
    <w:unhideWhenUsed/>
    <w:rsid w:val="00940A53"/>
    <w:pPr>
      <w:spacing w:after="120"/>
      <w:ind w:left="720"/>
      <w:contextualSpacing/>
    </w:pPr>
  </w:style>
  <w:style w:type="paragraph" w:styleId="CommentSubject">
    <w:name w:val="annotation subject"/>
    <w:basedOn w:val="CommentText"/>
    <w:next w:val="CommentText"/>
    <w:link w:val="CommentSubjectChar"/>
    <w:uiPriority w:val="99"/>
    <w:semiHidden/>
    <w:unhideWhenUsed/>
    <w:rsid w:val="00940A53"/>
    <w:rPr>
      <w:b/>
      <w:bCs/>
    </w:rPr>
  </w:style>
  <w:style w:type="character" w:customStyle="1" w:styleId="CommentSubjectChar">
    <w:name w:val="Comment Subject Char"/>
    <w:basedOn w:val="CommentTextChar"/>
    <w:link w:val="CommentSubject"/>
    <w:uiPriority w:val="99"/>
    <w:semiHidden/>
    <w:rsid w:val="00940A53"/>
    <w:rPr>
      <w:rFonts w:ascii="Calibri" w:eastAsia="Calibri" w:hAnsi="Calibri"/>
      <w:b/>
      <w:bCs/>
    </w:rPr>
  </w:style>
  <w:style w:type="paragraph" w:styleId="BalloonText">
    <w:name w:val="Balloon Text"/>
    <w:basedOn w:val="Normal"/>
    <w:link w:val="BalloonTextChar"/>
    <w:uiPriority w:val="99"/>
    <w:semiHidden/>
    <w:unhideWhenUsed/>
    <w:rsid w:val="00940A53"/>
    <w:rPr>
      <w:rFonts w:ascii="Tahoma" w:hAnsi="Tahoma" w:cs="Tahoma"/>
      <w:sz w:val="16"/>
      <w:szCs w:val="16"/>
    </w:rPr>
  </w:style>
  <w:style w:type="character" w:customStyle="1" w:styleId="BalloonTextChar">
    <w:name w:val="Balloon Text Char"/>
    <w:basedOn w:val="DefaultParagraphFont"/>
    <w:link w:val="BalloonText"/>
    <w:uiPriority w:val="99"/>
    <w:semiHidden/>
    <w:rsid w:val="00462BBF"/>
    <w:rPr>
      <w:rFonts w:ascii="Tahoma" w:hAnsi="Tahoma" w:cs="Tahoma"/>
      <w:sz w:val="16"/>
      <w:szCs w:val="16"/>
      <w:lang w:val="en-US"/>
    </w:rPr>
  </w:style>
  <w:style w:type="paragraph" w:styleId="Quote">
    <w:name w:val="Quote"/>
    <w:basedOn w:val="Normal"/>
    <w:next w:val="Normal"/>
    <w:link w:val="QuoteChar"/>
    <w:uiPriority w:val="29"/>
    <w:semiHidden/>
    <w:unhideWhenUsed/>
    <w:qFormat/>
    <w:rsid w:val="00940A53"/>
    <w:rPr>
      <w:i/>
      <w:iCs/>
      <w:color w:val="000000" w:themeColor="text1"/>
    </w:rPr>
  </w:style>
  <w:style w:type="character" w:customStyle="1" w:styleId="QuoteChar">
    <w:name w:val="Quote Char"/>
    <w:basedOn w:val="DefaultParagraphFont"/>
    <w:link w:val="Quote"/>
    <w:uiPriority w:val="29"/>
    <w:semiHidden/>
    <w:rsid w:val="00462BBF"/>
    <w:rPr>
      <w:i/>
      <w:iCs/>
      <w:color w:val="000000" w:themeColor="text1"/>
      <w:sz w:val="24"/>
      <w:szCs w:val="24"/>
      <w:lang w:val="en-US"/>
    </w:rPr>
  </w:style>
  <w:style w:type="paragraph" w:customStyle="1" w:styleId="CoverPageName">
    <w:name w:val="CoverPage Name"/>
    <w:basedOn w:val="Normal"/>
    <w:semiHidden/>
    <w:unhideWhenUsed/>
    <w:qFormat/>
    <w:rsid w:val="00940A53"/>
    <w:pPr>
      <w:spacing w:before="240" w:after="60" w:line="288" w:lineRule="auto"/>
      <w:ind w:left="1440"/>
    </w:pPr>
    <w:rPr>
      <w:rFonts w:ascii="Tahoma" w:eastAsia="Times New Roman" w:hAnsi="Tahoma" w:cs="Tahoma"/>
      <w:b/>
      <w:sz w:val="56"/>
      <w:szCs w:val="56"/>
    </w:rPr>
  </w:style>
  <w:style w:type="character" w:customStyle="1" w:styleId="st1">
    <w:name w:val="st1"/>
    <w:basedOn w:val="DefaultParagraphFont"/>
    <w:semiHidden/>
    <w:unhideWhenUsed/>
    <w:rsid w:val="00940A53"/>
  </w:style>
  <w:style w:type="character" w:customStyle="1" w:styleId="A2">
    <w:name w:val="A2"/>
    <w:uiPriority w:val="99"/>
    <w:semiHidden/>
    <w:unhideWhenUsed/>
    <w:rsid w:val="00940A53"/>
    <w:rPr>
      <w:rFonts w:cs="Arial"/>
      <w:color w:val="000000"/>
      <w:sz w:val="14"/>
      <w:szCs w:val="14"/>
    </w:rPr>
  </w:style>
  <w:style w:type="numbering" w:customStyle="1" w:styleId="NoList1">
    <w:name w:val="No List1"/>
    <w:next w:val="NoList"/>
    <w:uiPriority w:val="99"/>
    <w:semiHidden/>
    <w:unhideWhenUsed/>
    <w:rsid w:val="00940A53"/>
  </w:style>
  <w:style w:type="table" w:customStyle="1" w:styleId="TableGrid1">
    <w:name w:val="Table Grid1"/>
    <w:basedOn w:val="TableNormal"/>
    <w:next w:val="TableGrid"/>
    <w:uiPriority w:val="59"/>
    <w:rsid w:val="00940A53"/>
    <w:rPr>
      <w:rFonts w:ascii="Calibri" w:eastAsia="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semiHidden/>
    <w:unhideWhenUsed/>
    <w:rsid w:val="00940A53"/>
  </w:style>
  <w:style w:type="character" w:customStyle="1" w:styleId="BoldItalic">
    <w:name w:val="BoldItalic"/>
    <w:basedOn w:val="DefaultParagraphFont"/>
    <w:uiPriority w:val="1"/>
    <w:qFormat/>
    <w:rsid w:val="001D08AF"/>
    <w:rPr>
      <w:b/>
      <w:i/>
    </w:rPr>
  </w:style>
  <w:style w:type="character" w:customStyle="1" w:styleId="BoldUnderline">
    <w:name w:val="BoldUnderline"/>
    <w:basedOn w:val="DefaultParagraphFont"/>
    <w:uiPriority w:val="1"/>
    <w:rsid w:val="008728D5"/>
    <w:rPr>
      <w:b/>
      <w:u w:val="single"/>
    </w:rPr>
  </w:style>
  <w:style w:type="paragraph" w:customStyle="1" w:styleId="Default">
    <w:name w:val="Default"/>
    <w:rsid w:val="0067334C"/>
    <w:pPr>
      <w:autoSpaceDE w:val="0"/>
      <w:autoSpaceDN w:val="0"/>
      <w:adjustRightInd w:val="0"/>
    </w:pPr>
    <w:rPr>
      <w:rFonts w:ascii="Helvetica 55 Roman" w:eastAsiaTheme="minorHAnsi" w:hAnsi="Helvetica 55 Roman" w:cs="Helvetica 55 Roman"/>
      <w:color w:val="000000"/>
      <w:sz w:val="24"/>
      <w:szCs w:val="24"/>
      <w:lang w:val="en-US"/>
    </w:rPr>
  </w:style>
  <w:style w:type="paragraph" w:customStyle="1" w:styleId="Pa4">
    <w:name w:val="Pa4"/>
    <w:basedOn w:val="Default"/>
    <w:next w:val="Default"/>
    <w:uiPriority w:val="99"/>
    <w:rsid w:val="0067334C"/>
    <w:pPr>
      <w:spacing w:line="181" w:lineRule="atLeast"/>
    </w:pPr>
    <w:rPr>
      <w:rFonts w:cstheme="minorBidi"/>
      <w:color w:val="auto"/>
    </w:rPr>
  </w:style>
  <w:style w:type="paragraph" w:styleId="HTMLPreformatted">
    <w:name w:val="HTML Preformatted"/>
    <w:basedOn w:val="Normal"/>
    <w:link w:val="HTMLPreformattedChar"/>
    <w:uiPriority w:val="99"/>
    <w:semiHidden/>
    <w:unhideWhenUsed/>
    <w:rsid w:val="0067334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7334C"/>
    <w:rPr>
      <w:rFonts w:ascii="Consolas" w:eastAsiaTheme="minorHAnsi" w:hAnsi="Consolas" w:cs="Consolas"/>
      <w:lang w:val="en-US"/>
    </w:rPr>
  </w:style>
  <w:style w:type="paragraph" w:customStyle="1" w:styleId="bodytext0">
    <w:name w:val="bodytext"/>
    <w:basedOn w:val="Normal"/>
    <w:rsid w:val="0067334C"/>
    <w:pPr>
      <w:spacing w:before="100" w:beforeAutospacing="1" w:after="100" w:afterAutospacing="1"/>
    </w:pPr>
    <w:rPr>
      <w:rFonts w:ascii="Times New Roman" w:eastAsia="Times New Roman" w:hAnsi="Times New Roman"/>
    </w:rPr>
  </w:style>
  <w:style w:type="character" w:customStyle="1" w:styleId="hl">
    <w:name w:val="hl"/>
    <w:basedOn w:val="DefaultParagraphFont"/>
    <w:rsid w:val="00B94FA0"/>
  </w:style>
  <w:style w:type="paragraph" w:styleId="Caption">
    <w:name w:val="caption"/>
    <w:basedOn w:val="Normal"/>
    <w:next w:val="Normal"/>
    <w:uiPriority w:val="35"/>
    <w:unhideWhenUsed/>
    <w:qFormat/>
    <w:rsid w:val="007A76EC"/>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579">
      <w:bodyDiv w:val="1"/>
      <w:marLeft w:val="0"/>
      <w:marRight w:val="0"/>
      <w:marTop w:val="0"/>
      <w:marBottom w:val="0"/>
      <w:divBdr>
        <w:top w:val="none" w:sz="0" w:space="0" w:color="auto"/>
        <w:left w:val="none" w:sz="0" w:space="0" w:color="auto"/>
        <w:bottom w:val="none" w:sz="0" w:space="0" w:color="auto"/>
        <w:right w:val="none" w:sz="0" w:space="0" w:color="auto"/>
      </w:divBdr>
    </w:div>
    <w:div w:id="143203534">
      <w:bodyDiv w:val="1"/>
      <w:marLeft w:val="0"/>
      <w:marRight w:val="0"/>
      <w:marTop w:val="0"/>
      <w:marBottom w:val="0"/>
      <w:divBdr>
        <w:top w:val="none" w:sz="0" w:space="0" w:color="auto"/>
        <w:left w:val="none" w:sz="0" w:space="0" w:color="auto"/>
        <w:bottom w:val="none" w:sz="0" w:space="0" w:color="auto"/>
        <w:right w:val="none" w:sz="0" w:space="0" w:color="auto"/>
      </w:divBdr>
    </w:div>
    <w:div w:id="791090625">
      <w:bodyDiv w:val="1"/>
      <w:marLeft w:val="0"/>
      <w:marRight w:val="0"/>
      <w:marTop w:val="0"/>
      <w:marBottom w:val="0"/>
      <w:divBdr>
        <w:top w:val="none" w:sz="0" w:space="0" w:color="auto"/>
        <w:left w:val="none" w:sz="0" w:space="0" w:color="auto"/>
        <w:bottom w:val="none" w:sz="0" w:space="0" w:color="auto"/>
        <w:right w:val="none" w:sz="0" w:space="0" w:color="auto"/>
      </w:divBdr>
    </w:div>
    <w:div w:id="882987807">
      <w:bodyDiv w:val="1"/>
      <w:marLeft w:val="0"/>
      <w:marRight w:val="0"/>
      <w:marTop w:val="0"/>
      <w:marBottom w:val="0"/>
      <w:divBdr>
        <w:top w:val="none" w:sz="0" w:space="0" w:color="auto"/>
        <w:left w:val="none" w:sz="0" w:space="0" w:color="auto"/>
        <w:bottom w:val="none" w:sz="0" w:space="0" w:color="auto"/>
        <w:right w:val="none" w:sz="0" w:space="0" w:color="auto"/>
      </w:divBdr>
    </w:div>
    <w:div w:id="886065508">
      <w:bodyDiv w:val="1"/>
      <w:marLeft w:val="0"/>
      <w:marRight w:val="0"/>
      <w:marTop w:val="0"/>
      <w:marBottom w:val="0"/>
      <w:divBdr>
        <w:top w:val="none" w:sz="0" w:space="0" w:color="auto"/>
        <w:left w:val="none" w:sz="0" w:space="0" w:color="auto"/>
        <w:bottom w:val="none" w:sz="0" w:space="0" w:color="auto"/>
        <w:right w:val="none" w:sz="0" w:space="0" w:color="auto"/>
      </w:divBdr>
    </w:div>
    <w:div w:id="1125348122">
      <w:bodyDiv w:val="1"/>
      <w:marLeft w:val="0"/>
      <w:marRight w:val="0"/>
      <w:marTop w:val="0"/>
      <w:marBottom w:val="0"/>
      <w:divBdr>
        <w:top w:val="none" w:sz="0" w:space="0" w:color="auto"/>
        <w:left w:val="none" w:sz="0" w:space="0" w:color="auto"/>
        <w:bottom w:val="none" w:sz="0" w:space="0" w:color="auto"/>
        <w:right w:val="none" w:sz="0" w:space="0" w:color="auto"/>
      </w:divBdr>
    </w:div>
    <w:div w:id="1202747156">
      <w:bodyDiv w:val="1"/>
      <w:marLeft w:val="0"/>
      <w:marRight w:val="0"/>
      <w:marTop w:val="0"/>
      <w:marBottom w:val="0"/>
      <w:divBdr>
        <w:top w:val="none" w:sz="0" w:space="0" w:color="auto"/>
        <w:left w:val="none" w:sz="0" w:space="0" w:color="auto"/>
        <w:bottom w:val="none" w:sz="0" w:space="0" w:color="auto"/>
        <w:right w:val="none" w:sz="0" w:space="0" w:color="auto"/>
      </w:divBdr>
    </w:div>
    <w:div w:id="1242717982">
      <w:bodyDiv w:val="1"/>
      <w:marLeft w:val="0"/>
      <w:marRight w:val="0"/>
      <w:marTop w:val="0"/>
      <w:marBottom w:val="0"/>
      <w:divBdr>
        <w:top w:val="none" w:sz="0" w:space="0" w:color="auto"/>
        <w:left w:val="none" w:sz="0" w:space="0" w:color="auto"/>
        <w:bottom w:val="none" w:sz="0" w:space="0" w:color="auto"/>
        <w:right w:val="none" w:sz="0" w:space="0" w:color="auto"/>
      </w:divBdr>
    </w:div>
    <w:div w:id="1245720598">
      <w:bodyDiv w:val="1"/>
      <w:marLeft w:val="0"/>
      <w:marRight w:val="0"/>
      <w:marTop w:val="0"/>
      <w:marBottom w:val="0"/>
      <w:divBdr>
        <w:top w:val="none" w:sz="0" w:space="0" w:color="auto"/>
        <w:left w:val="none" w:sz="0" w:space="0" w:color="auto"/>
        <w:bottom w:val="none" w:sz="0" w:space="0" w:color="auto"/>
        <w:right w:val="none" w:sz="0" w:space="0" w:color="auto"/>
      </w:divBdr>
    </w:div>
    <w:div w:id="1573150987">
      <w:bodyDiv w:val="1"/>
      <w:marLeft w:val="0"/>
      <w:marRight w:val="0"/>
      <w:marTop w:val="0"/>
      <w:marBottom w:val="0"/>
      <w:divBdr>
        <w:top w:val="none" w:sz="0" w:space="0" w:color="auto"/>
        <w:left w:val="none" w:sz="0" w:space="0" w:color="auto"/>
        <w:bottom w:val="none" w:sz="0" w:space="0" w:color="auto"/>
        <w:right w:val="none" w:sz="0" w:space="0" w:color="auto"/>
      </w:divBdr>
    </w:div>
    <w:div w:id="1625187981">
      <w:bodyDiv w:val="1"/>
      <w:marLeft w:val="0"/>
      <w:marRight w:val="0"/>
      <w:marTop w:val="0"/>
      <w:marBottom w:val="0"/>
      <w:divBdr>
        <w:top w:val="none" w:sz="0" w:space="0" w:color="auto"/>
        <w:left w:val="none" w:sz="0" w:space="0" w:color="auto"/>
        <w:bottom w:val="none" w:sz="0" w:space="0" w:color="auto"/>
        <w:right w:val="none" w:sz="0" w:space="0" w:color="auto"/>
      </w:divBdr>
    </w:div>
    <w:div w:id="1688822551">
      <w:bodyDiv w:val="1"/>
      <w:marLeft w:val="0"/>
      <w:marRight w:val="0"/>
      <w:marTop w:val="0"/>
      <w:marBottom w:val="0"/>
      <w:divBdr>
        <w:top w:val="none" w:sz="0" w:space="0" w:color="auto"/>
        <w:left w:val="none" w:sz="0" w:space="0" w:color="auto"/>
        <w:bottom w:val="none" w:sz="0" w:space="0" w:color="auto"/>
        <w:right w:val="none" w:sz="0" w:space="0" w:color="auto"/>
      </w:divBdr>
    </w:div>
    <w:div w:id="1736510741">
      <w:bodyDiv w:val="1"/>
      <w:marLeft w:val="0"/>
      <w:marRight w:val="0"/>
      <w:marTop w:val="0"/>
      <w:marBottom w:val="0"/>
      <w:divBdr>
        <w:top w:val="none" w:sz="0" w:space="0" w:color="auto"/>
        <w:left w:val="none" w:sz="0" w:space="0" w:color="auto"/>
        <w:bottom w:val="none" w:sz="0" w:space="0" w:color="auto"/>
        <w:right w:val="none" w:sz="0" w:space="0" w:color="auto"/>
      </w:divBdr>
    </w:div>
    <w:div w:id="1789808778">
      <w:bodyDiv w:val="1"/>
      <w:marLeft w:val="0"/>
      <w:marRight w:val="0"/>
      <w:marTop w:val="0"/>
      <w:marBottom w:val="0"/>
      <w:divBdr>
        <w:top w:val="none" w:sz="0" w:space="0" w:color="auto"/>
        <w:left w:val="none" w:sz="0" w:space="0" w:color="auto"/>
        <w:bottom w:val="none" w:sz="0" w:space="0" w:color="auto"/>
        <w:right w:val="none" w:sz="0" w:space="0" w:color="auto"/>
      </w:divBdr>
    </w:div>
    <w:div w:id="2010331280">
      <w:bodyDiv w:val="1"/>
      <w:marLeft w:val="0"/>
      <w:marRight w:val="0"/>
      <w:marTop w:val="0"/>
      <w:marBottom w:val="0"/>
      <w:divBdr>
        <w:top w:val="none" w:sz="0" w:space="0" w:color="auto"/>
        <w:left w:val="none" w:sz="0" w:space="0" w:color="auto"/>
        <w:bottom w:val="none" w:sz="0" w:space="0" w:color="auto"/>
        <w:right w:val="none" w:sz="0" w:space="0" w:color="auto"/>
      </w:divBdr>
    </w:div>
    <w:div w:id="2118676123">
      <w:bodyDiv w:val="1"/>
      <w:marLeft w:val="0"/>
      <w:marRight w:val="0"/>
      <w:marTop w:val="0"/>
      <w:marBottom w:val="0"/>
      <w:divBdr>
        <w:top w:val="none" w:sz="0" w:space="0" w:color="auto"/>
        <w:left w:val="none" w:sz="0" w:space="0" w:color="auto"/>
        <w:bottom w:val="none" w:sz="0" w:space="0" w:color="auto"/>
        <w:right w:val="none" w:sz="0" w:space="0" w:color="auto"/>
      </w:divBdr>
    </w:div>
    <w:div w:id="21286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cbi.nlm.nih.gov/pubmed/24932415" TargetMode="External"/><Relationship Id="rId18" Type="http://schemas.openxmlformats.org/officeDocument/2006/relationships/hyperlink" Target="http://www.ncbi.nlm.nih.gov/pubmed/2350424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uropepmc.org/abstract/MED/16926979" TargetMode="External"/><Relationship Id="rId7" Type="http://schemas.openxmlformats.org/officeDocument/2006/relationships/endnotes" Target="endnotes.xml"/><Relationship Id="rId12" Type="http://schemas.openxmlformats.org/officeDocument/2006/relationships/hyperlink" Target="https://doi.org/10.1371/journal.pone.0014420" TargetMode="External"/><Relationship Id="rId17" Type="http://schemas.openxmlformats.org/officeDocument/2006/relationships/hyperlink" Target="http://link.springer.com/10.1007/s13149-015-045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dentaled.org/content/71/6/832.abstract" TargetMode="External"/><Relationship Id="rId20" Type="http://schemas.openxmlformats.org/officeDocument/2006/relationships/hyperlink" Target="http://bmchealthservres.biomedcentral.com/articles/10.1186/1472-6963-13-2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1655539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journals.sagepub.com/doi/10.1177/216507991206001003" TargetMode="External"/><Relationship Id="rId23" Type="http://schemas.openxmlformats.org/officeDocument/2006/relationships/header" Target="header1.xml"/><Relationship Id="rId10" Type="http://schemas.openxmlformats.org/officeDocument/2006/relationships/hyperlink" Target="http://www.who.int/whr/2002/en/" TargetMode="External"/><Relationship Id="rId19" Type="http://schemas.openxmlformats.org/officeDocument/2006/relationships/hyperlink" Target="http://www.ncbi.nlm.nih.gov/pubmed/22092324" TargetMode="External"/><Relationship Id="rId4" Type="http://schemas.openxmlformats.org/officeDocument/2006/relationships/settings" Target="settings.xml"/><Relationship Id="rId9" Type="http://schemas.openxmlformats.org/officeDocument/2006/relationships/hyperlink" Target="https://doi.org/10.1080/15459624.2011.605013" TargetMode="External"/><Relationship Id="rId14" Type="http://schemas.openxmlformats.org/officeDocument/2006/relationships/hyperlink" Target="https://www.cdc.gov/mmwr/preview/mmwrhtml/rr5011a1.htm" TargetMode="External"/><Relationship Id="rId22" Type="http://schemas.openxmlformats.org/officeDocument/2006/relationships/hyperlink" Target="https://doi.org/10.7439/ijbr.v8i1.3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11</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saikishore-k</dc:creator>
  <cp:lastModifiedBy>Srinivas Khandavalli</cp:lastModifiedBy>
  <cp:revision>296</cp:revision>
  <dcterms:created xsi:type="dcterms:W3CDTF">2018-11-01T12:25:00Z</dcterms:created>
  <dcterms:modified xsi:type="dcterms:W3CDTF">2018-11-02T10:19:00Z</dcterms:modified>
</cp:coreProperties>
</file>