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20" w:rsidRDefault="00F33720" w:rsidP="00F33720">
      <w:pPr>
        <w:pStyle w:val="Heading2"/>
      </w:pPr>
    </w:p>
    <w:p w:rsidR="00F33720" w:rsidRPr="00F33720" w:rsidRDefault="00F33720" w:rsidP="00F33720"/>
    <w:p w:rsidR="00F33720" w:rsidRDefault="00F33720" w:rsidP="00F33720">
      <w:pPr>
        <w:pStyle w:val="Heading2"/>
      </w:pPr>
    </w:p>
    <w:p w:rsidR="00F33720" w:rsidRDefault="00F33720" w:rsidP="00F33720">
      <w:pPr>
        <w:pStyle w:val="Heading2"/>
      </w:pPr>
    </w:p>
    <w:p w:rsidR="00F33720" w:rsidRDefault="00F33720" w:rsidP="00F33720">
      <w:pPr>
        <w:pStyle w:val="Heading2"/>
      </w:pPr>
      <w:r>
        <w:t>Pharmacokinetic Parameters Calculation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C</w:t>
      </w:r>
      <w:r>
        <w:rPr>
          <w:rStyle w:val="Subscript"/>
        </w:rPr>
        <w:t>max</w:t>
      </w:r>
      <w:r>
        <w:t xml:space="preserve"> is the highest observed concentration in a concentration-time profile. If two peaks of identical height are observed, the first peak is considered the C</w:t>
      </w:r>
      <w:r>
        <w:rPr>
          <w:rStyle w:val="Subscript"/>
        </w:rPr>
        <w:t>max</w:t>
      </w:r>
      <w:r>
        <w:t>. It is used to assess peak exposure.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T</w:t>
      </w:r>
      <w:r>
        <w:rPr>
          <w:rStyle w:val="Subscript"/>
        </w:rPr>
        <w:t>max</w:t>
      </w:r>
      <w:r>
        <w:t xml:space="preserve"> is the time of the sample identified as C</w:t>
      </w:r>
      <w:r>
        <w:rPr>
          <w:rStyle w:val="Subscript"/>
        </w:rPr>
        <w:t>max</w:t>
      </w:r>
      <w:r>
        <w:t>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AUC</w:t>
      </w:r>
      <w:r>
        <w:rPr>
          <w:rStyle w:val="Subscript"/>
        </w:rPr>
        <w:t>0-t</w:t>
      </w:r>
      <w:r>
        <w:t xml:space="preserve"> is the area under the plasma concentration – time curve from time 0 to the last measurable plasma concentration.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AUC</w:t>
      </w:r>
      <w:r>
        <w:rPr>
          <w:rStyle w:val="Subscript"/>
        </w:rPr>
        <w:t>0-72</w:t>
      </w:r>
      <w:r>
        <w:t xml:space="preserve"> is the area under the plasma concentration – time curve from time 0 up to 72 hours.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AUC</w:t>
      </w:r>
      <w:r>
        <w:rPr>
          <w:rStyle w:val="Subscript"/>
        </w:rPr>
        <w:t>extra</w:t>
      </w:r>
      <w:r>
        <w:t xml:space="preserve"> or AUC</w:t>
      </w:r>
      <w:r>
        <w:rPr>
          <w:rStyle w:val="Subscript"/>
        </w:rPr>
        <w:t>t-∞</w:t>
      </w:r>
      <w:r>
        <w:t xml:space="preserve"> is the area under the plasma concentration – time curve from the time of the last measurable concentration extrapolated to infinite time.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AUC</w:t>
      </w:r>
      <w:r>
        <w:rPr>
          <w:rStyle w:val="Subscript"/>
        </w:rPr>
        <w:t xml:space="preserve">0-∞ </w:t>
      </w:r>
      <w:r>
        <w:t>is the area under the plasma concentration – time curve from time 0 extrapolated to infinite time. It is the sum of AUC</w:t>
      </w:r>
      <w:r>
        <w:rPr>
          <w:rStyle w:val="Subscript"/>
        </w:rPr>
        <w:t xml:space="preserve">0-t </w:t>
      </w:r>
      <w:r>
        <w:t>&amp; AUC</w:t>
      </w:r>
      <w:r>
        <w:rPr>
          <w:rStyle w:val="Subscript"/>
        </w:rPr>
        <w:t>t-∞</w:t>
      </w:r>
      <w:r>
        <w:t>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AUC</w:t>
      </w:r>
      <w:r>
        <w:rPr>
          <w:rStyle w:val="Subscript"/>
        </w:rPr>
        <w:t>extra</w:t>
      </w:r>
      <w:r>
        <w:t>/AUC</w:t>
      </w:r>
      <w:r>
        <w:rPr>
          <w:rStyle w:val="Subscript"/>
        </w:rPr>
        <w:t>0-∞</w:t>
      </w:r>
      <w:r>
        <w:t xml:space="preserve"> or % Extrapolated is the ratio of AUC</w:t>
      </w:r>
      <w:r>
        <w:rPr>
          <w:rStyle w:val="Subscript"/>
        </w:rPr>
        <w:t>extra</w:t>
      </w:r>
      <w:r>
        <w:t xml:space="preserve"> to AUC</w:t>
      </w:r>
      <w:r>
        <w:rPr>
          <w:rStyle w:val="Subscript"/>
        </w:rPr>
        <w:t>0-∞.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K</w:t>
      </w:r>
      <w:r>
        <w:rPr>
          <w:rStyle w:val="Subscript"/>
        </w:rPr>
        <w:t>e</w:t>
      </w:r>
      <w:r>
        <w:t xml:space="preserve"> is the elimination rate constant. It is the rate at which drug is cleared from the body.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proofErr w:type="gramStart"/>
      <w:r>
        <w:t>t</w:t>
      </w:r>
      <w:r>
        <w:rPr>
          <w:rStyle w:val="Subscript"/>
        </w:rPr>
        <w:t>1/2</w:t>
      </w:r>
      <w:proofErr w:type="gramEnd"/>
      <w:r>
        <w:rPr>
          <w:rStyle w:val="Subscript"/>
        </w:rPr>
        <w:t xml:space="preserve"> </w:t>
      </w:r>
      <w:r>
        <w:t>is the half-life of the drug in plasma which is the time taken for the concentration of the drug to decrease by 50%.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 xml:space="preserve">The pharmacokinetic parameters of Sildenafil were estimated using standard non-compartmental methods. 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The maximal plasma concentration was taken directly from the measured data. The area under the plasma concentration–time curve (AUC</w:t>
      </w:r>
      <w:r>
        <w:rPr>
          <w:rStyle w:val="Subscript"/>
        </w:rPr>
        <w:t>t</w:t>
      </w:r>
      <w:r>
        <w:t>) was calculated from measured data points from the time of administration to the time of last quantifiable concentration (</w:t>
      </w:r>
      <w:proofErr w:type="spellStart"/>
      <w:r>
        <w:t>Clast</w:t>
      </w:r>
      <w:proofErr w:type="spellEnd"/>
      <w:r>
        <w:t>) by the linear trapezoidal rule.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The area under the plasma concentration–time curve extrapolated to infinity (AUC</w:t>
      </w:r>
      <w:r>
        <w:rPr>
          <w:rStyle w:val="Subscript"/>
        </w:rPr>
        <w:t>∞</w:t>
      </w:r>
      <w:r>
        <w:t>) was calculated according to the following formula:</w:t>
      </w:r>
    </w:p>
    <w:p w:rsidR="00F33720" w:rsidRDefault="00F33720" w:rsidP="00F33720">
      <w:pPr>
        <w:pStyle w:val="BodyTextFirstIndent"/>
        <w:numPr>
          <w:ilvl w:val="0"/>
          <w:numId w:val="24"/>
        </w:numPr>
      </w:pPr>
      <w:r>
        <w:t>AUC</w:t>
      </w:r>
      <w:r>
        <w:rPr>
          <w:rStyle w:val="Subscript"/>
        </w:rPr>
        <w:t>0-∞</w:t>
      </w:r>
      <w:r>
        <w:t>=AUC</w:t>
      </w:r>
      <w:r>
        <w:rPr>
          <w:rStyle w:val="Subscript"/>
        </w:rPr>
        <w:t>0-t</w:t>
      </w:r>
      <w:r>
        <w:t xml:space="preserve"> </w:t>
      </w:r>
      <w:proofErr w:type="spellStart"/>
      <w:r>
        <w:t>Clast</w:t>
      </w:r>
      <w:proofErr w:type="spellEnd"/>
      <w:proofErr w:type="gramStart"/>
      <w:r>
        <w:t>/[</w:t>
      </w:r>
      <w:proofErr w:type="spellStart"/>
      <w:proofErr w:type="gramEnd"/>
      <w:r>
        <w:t>ln</w:t>
      </w:r>
      <w:proofErr w:type="spellEnd"/>
      <w:r>
        <w:t xml:space="preserve"> (2)/t</w:t>
      </w:r>
      <w:r>
        <w:rPr>
          <w:rStyle w:val="Subscript"/>
        </w:rPr>
        <w:t>½</w:t>
      </w:r>
      <w:r>
        <w:t xml:space="preserve">], where </w:t>
      </w:r>
      <w:proofErr w:type="spellStart"/>
      <w:r>
        <w:t>Clast</w:t>
      </w:r>
      <w:proofErr w:type="spellEnd"/>
      <w:r>
        <w:t xml:space="preserve"> is the last quantifiable concentration.</w:t>
      </w:r>
    </w:p>
    <w:p w:rsidR="00F33720" w:rsidRDefault="00F33720" w:rsidP="00F33720">
      <w:pPr>
        <w:pStyle w:val="Heading2"/>
      </w:pPr>
      <w:r>
        <w:t>Graphical Abstract</w:t>
      </w:r>
    </w:p>
    <w:p w:rsidR="00F33720" w:rsidRDefault="00F33720" w:rsidP="00F33720">
      <w:pPr>
        <w:pStyle w:val="BodyTextFirstIndent"/>
        <w:rPr>
          <w:rStyle w:val="FootnoteReference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345"/>
        <w:tblW w:w="10298" w:type="dxa"/>
        <w:tblLayout w:type="fixed"/>
        <w:tblCellMar>
          <w:left w:w="81" w:type="dxa"/>
        </w:tblCellMar>
        <w:tblLook w:val="0000" w:firstRow="0" w:lastRow="0" w:firstColumn="0" w:lastColumn="0" w:noHBand="0" w:noVBand="0"/>
      </w:tblPr>
      <w:tblGrid>
        <w:gridCol w:w="2360"/>
        <w:gridCol w:w="7938"/>
      </w:tblGrid>
      <w:tr w:rsidR="00F33720" w:rsidRPr="003A7332" w:rsidTr="009F74DF">
        <w:trPr>
          <w:trHeight w:val="822"/>
        </w:trPr>
        <w:tc>
          <w:tcPr>
            <w:tcW w:w="2360" w:type="dxa"/>
            <w:vMerge w:val="restart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lastRenderedPageBreak/>
              <w:t>Name of the Finished Products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 xml:space="preserve">Test Product: </w:t>
            </w:r>
            <w:proofErr w:type="spellStart"/>
            <w:r w:rsidRPr="003A7332">
              <w:rPr>
                <w:color w:val="000000" w:themeColor="text1"/>
              </w:rPr>
              <w:t>Satenafil</w:t>
            </w:r>
            <w:proofErr w:type="spellEnd"/>
            <w:r w:rsidRPr="003A7332">
              <w:rPr>
                <w:color w:val="000000" w:themeColor="text1"/>
              </w:rPr>
              <w:t xml:space="preserve"> 100 mg Film Coated Tablets, Batch No.: T30046, manufactured by </w:t>
            </w:r>
            <w:proofErr w:type="spellStart"/>
            <w:r w:rsidRPr="003A7332">
              <w:rPr>
                <w:color w:val="000000" w:themeColor="text1"/>
              </w:rPr>
              <w:t>Organo</w:t>
            </w:r>
            <w:proofErr w:type="spellEnd"/>
            <w:r w:rsidRPr="003A7332">
              <w:rPr>
                <w:color w:val="000000" w:themeColor="text1"/>
              </w:rPr>
              <w:t xml:space="preserve"> for Pharmaceutical   &amp; Chemical Industries (</w:t>
            </w:r>
            <w:proofErr w:type="spellStart"/>
            <w:r w:rsidRPr="003A7332">
              <w:rPr>
                <w:color w:val="000000" w:themeColor="text1"/>
              </w:rPr>
              <w:t>Organo</w:t>
            </w:r>
            <w:proofErr w:type="spellEnd"/>
            <w:r w:rsidRPr="003A7332">
              <w:rPr>
                <w:color w:val="000000" w:themeColor="text1"/>
              </w:rPr>
              <w:t xml:space="preserve"> Pharma) For </w:t>
            </w:r>
            <w:proofErr w:type="spellStart"/>
            <w:r w:rsidRPr="003A7332">
              <w:rPr>
                <w:color w:val="000000" w:themeColor="text1"/>
              </w:rPr>
              <w:t>Helwan</w:t>
            </w:r>
            <w:proofErr w:type="spellEnd"/>
            <w:r w:rsidRPr="003A7332">
              <w:rPr>
                <w:color w:val="000000" w:themeColor="text1"/>
              </w:rPr>
              <w:t xml:space="preserve"> pharmaceutical (Expiry date: 04/2018)</w:t>
            </w:r>
          </w:p>
        </w:tc>
      </w:tr>
      <w:tr w:rsidR="00F33720" w:rsidRPr="003A7332" w:rsidTr="009F74DF">
        <w:trPr>
          <w:trHeight w:val="795"/>
        </w:trPr>
        <w:tc>
          <w:tcPr>
            <w:tcW w:w="2360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>Reference Product: VIAGRA</w:t>
            </w:r>
            <w:r w:rsidRPr="003A7332">
              <w:rPr>
                <w:color w:val="000000" w:themeColor="text1"/>
                <w:vertAlign w:val="superscript"/>
              </w:rPr>
              <w:t>®</w:t>
            </w:r>
            <w:r w:rsidRPr="003A7332">
              <w:rPr>
                <w:color w:val="000000" w:themeColor="text1"/>
              </w:rPr>
              <w:t xml:space="preserve"> 100 mg Film Coated Tablets, Batch No.  6702, manufactured by Pfizer Egypt S.A.E Cairo A.R.E under License of Pfizer –Inc., USA and its Subsidiary in UK (Expiry date:</w:t>
            </w:r>
            <w:r>
              <w:rPr>
                <w:color w:val="000000" w:themeColor="text1"/>
              </w:rPr>
              <w:t xml:space="preserve"> </w:t>
            </w:r>
            <w:r w:rsidRPr="003A7332">
              <w:rPr>
                <w:color w:val="000000" w:themeColor="text1"/>
              </w:rPr>
              <w:t>01/2018 respectively)</w:t>
            </w:r>
          </w:p>
        </w:tc>
      </w:tr>
      <w:tr w:rsidR="00F33720" w:rsidRPr="00A4632B" w:rsidTr="009F74DF">
        <w:trPr>
          <w:trHeight w:val="700"/>
        </w:trPr>
        <w:tc>
          <w:tcPr>
            <w:tcW w:w="2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 xml:space="preserve">Name of Active Ingredients 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3A7332">
              <w:rPr>
                <w:color w:val="000000" w:themeColor="text1"/>
              </w:rPr>
              <w:t xml:space="preserve">Sildenafil 100 mg  </w:t>
            </w:r>
          </w:p>
        </w:tc>
      </w:tr>
      <w:tr w:rsidR="00F33720" w:rsidRPr="003A7332" w:rsidTr="009F74DF">
        <w:trPr>
          <w:trHeight w:val="750"/>
        </w:trPr>
        <w:tc>
          <w:tcPr>
            <w:tcW w:w="2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Study Design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>A randomized, open-label, single-dose, three-period, three-treatment, six-sequence crossover design under fasting conditions.</w:t>
            </w:r>
          </w:p>
        </w:tc>
      </w:tr>
      <w:tr w:rsidR="00F33720" w:rsidRPr="003A7332" w:rsidTr="009F74DF">
        <w:trPr>
          <w:trHeight w:val="1241"/>
        </w:trPr>
        <w:tc>
          <w:tcPr>
            <w:tcW w:w="2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Objective of the Study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 xml:space="preserve">This bioequivalence study aimed to investigate the rate and extent of absorption of Sildenafil through measurement of Sildenafil from, </w:t>
            </w:r>
            <w:proofErr w:type="spellStart"/>
            <w:r w:rsidRPr="003A7332">
              <w:rPr>
                <w:color w:val="000000" w:themeColor="text1"/>
              </w:rPr>
              <w:t>Satenafil</w:t>
            </w:r>
            <w:proofErr w:type="spellEnd"/>
            <w:r w:rsidRPr="003A7332">
              <w:rPr>
                <w:color w:val="000000" w:themeColor="text1"/>
              </w:rPr>
              <w:t xml:space="preserve"> 100 mg Film Coated Tablets manufactured by </w:t>
            </w:r>
            <w:proofErr w:type="spellStart"/>
            <w:r w:rsidRPr="003A7332">
              <w:rPr>
                <w:color w:val="000000" w:themeColor="text1"/>
              </w:rPr>
              <w:t>Organo</w:t>
            </w:r>
            <w:proofErr w:type="spellEnd"/>
            <w:r w:rsidRPr="003A7332">
              <w:rPr>
                <w:color w:val="000000" w:themeColor="text1"/>
              </w:rPr>
              <w:t xml:space="preserve"> for Pharmaceutical &amp; Chemical Industries (</w:t>
            </w:r>
            <w:proofErr w:type="spellStart"/>
            <w:r w:rsidRPr="003A7332">
              <w:rPr>
                <w:color w:val="000000" w:themeColor="text1"/>
              </w:rPr>
              <w:t>Organo</w:t>
            </w:r>
            <w:proofErr w:type="spellEnd"/>
            <w:r w:rsidRPr="003A7332">
              <w:rPr>
                <w:color w:val="000000" w:themeColor="text1"/>
              </w:rPr>
              <w:t xml:space="preserve"> Pharma) For </w:t>
            </w:r>
            <w:proofErr w:type="spellStart"/>
            <w:r w:rsidRPr="003A7332">
              <w:rPr>
                <w:color w:val="000000" w:themeColor="text1"/>
              </w:rPr>
              <w:t>Helwan</w:t>
            </w:r>
            <w:proofErr w:type="spellEnd"/>
            <w:r w:rsidRPr="003A7332">
              <w:rPr>
                <w:color w:val="000000" w:themeColor="text1"/>
              </w:rPr>
              <w:t xml:space="preserve"> pharmaceutical and VIAGRA</w:t>
            </w:r>
            <w:r w:rsidRPr="003A7332">
              <w:rPr>
                <w:color w:val="000000" w:themeColor="text1"/>
                <w:vertAlign w:val="superscript"/>
              </w:rPr>
              <w:t>®</w:t>
            </w:r>
            <w:r w:rsidRPr="003A7332">
              <w:rPr>
                <w:color w:val="000000" w:themeColor="text1"/>
              </w:rPr>
              <w:t xml:space="preserve"> 100 mg Film Coated Tablets manufactured by Pfizer Egypt S.A.E Cairo A.R.E under License of Pfizer –Inc., USA and its Subsidiary in UK</w:t>
            </w:r>
          </w:p>
        </w:tc>
      </w:tr>
      <w:tr w:rsidR="00F33720" w:rsidRPr="00A4632B" w:rsidTr="009F74DF">
        <w:trPr>
          <w:trHeight w:val="525"/>
        </w:trPr>
        <w:tc>
          <w:tcPr>
            <w:tcW w:w="2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Study Center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A4632B">
              <w:t xml:space="preserve">Makin Research Center, Bldg. no. 4, Block 46, branched from Abdel Aziz </w:t>
            </w:r>
            <w:proofErr w:type="spellStart"/>
            <w:r w:rsidRPr="00A4632B">
              <w:t>Issa</w:t>
            </w:r>
            <w:proofErr w:type="spellEnd"/>
            <w:r w:rsidRPr="00A4632B">
              <w:t xml:space="preserve"> St., behind El </w:t>
            </w:r>
            <w:proofErr w:type="spellStart"/>
            <w:r w:rsidRPr="00A4632B">
              <w:t>Manhal</w:t>
            </w:r>
            <w:proofErr w:type="spellEnd"/>
            <w:r w:rsidRPr="00A4632B">
              <w:t xml:space="preserve"> School, in-front of the Standard Religious Institute, 9th zone, </w:t>
            </w:r>
            <w:proofErr w:type="spellStart"/>
            <w:r w:rsidRPr="00A4632B">
              <w:t>Mostafa</w:t>
            </w:r>
            <w:proofErr w:type="spellEnd"/>
            <w:r w:rsidRPr="00A4632B">
              <w:t xml:space="preserve"> El </w:t>
            </w:r>
            <w:proofErr w:type="spellStart"/>
            <w:r w:rsidRPr="00A4632B">
              <w:t>Nahas</w:t>
            </w:r>
            <w:proofErr w:type="spellEnd"/>
            <w:r w:rsidRPr="00A4632B">
              <w:t xml:space="preserve"> St., Nasr City, Cairo, Egypt     </w:t>
            </w:r>
          </w:p>
        </w:tc>
      </w:tr>
      <w:tr w:rsidR="00F33720" w:rsidRPr="00A4632B" w:rsidTr="009F74DF">
        <w:trPr>
          <w:trHeight w:val="355"/>
        </w:trPr>
        <w:tc>
          <w:tcPr>
            <w:tcW w:w="2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 xml:space="preserve">Number of Subjects 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>Planned: 30 (minimum 30)</w:t>
            </w:r>
          </w:p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>Completed all study phases: 30</w:t>
            </w:r>
          </w:p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>Analyzed: 30</w:t>
            </w:r>
          </w:p>
          <w:p w:rsidR="00F33720" w:rsidRPr="00A4632B" w:rsidRDefault="00F33720" w:rsidP="009F74DF">
            <w:pPr>
              <w:pStyle w:val="TableStyle"/>
            </w:pPr>
            <w:r w:rsidRPr="003A7332">
              <w:rPr>
                <w:color w:val="000000" w:themeColor="text1"/>
              </w:rPr>
              <w:t>Pharmacokinetics calculations &amp; statistical analyses: 30</w:t>
            </w:r>
          </w:p>
        </w:tc>
      </w:tr>
      <w:tr w:rsidR="00F33720" w:rsidRPr="00A4632B" w:rsidTr="009F74DF">
        <w:trPr>
          <w:trHeight w:val="820"/>
        </w:trPr>
        <w:tc>
          <w:tcPr>
            <w:tcW w:w="236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Diagnosis and Main Criteria for Inclusion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A4632B">
              <w:t xml:space="preserve">Healthy </w:t>
            </w:r>
            <w:r>
              <w:t>male</w:t>
            </w:r>
            <w:r w:rsidRPr="00A4632B">
              <w:t xml:space="preserve"> subjects (ages: 18-55 years), non-smokers or mild smokers with BMI of 30 or less and pass all physical and laboratory examinations.</w:t>
            </w:r>
          </w:p>
        </w:tc>
      </w:tr>
      <w:tr w:rsidR="00F33720" w:rsidRPr="003A7332" w:rsidTr="009F74DF">
        <w:trPr>
          <w:trHeight w:val="308"/>
        </w:trPr>
        <w:tc>
          <w:tcPr>
            <w:tcW w:w="2360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Dosage &amp; Administration</w:t>
            </w:r>
          </w:p>
        </w:tc>
        <w:tc>
          <w:tcPr>
            <w:tcW w:w="793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3A7332" w:rsidRDefault="00F33720" w:rsidP="009F74DF">
            <w:pPr>
              <w:pStyle w:val="TableStyle"/>
              <w:rPr>
                <w:color w:val="000000" w:themeColor="text1"/>
              </w:rPr>
            </w:pPr>
            <w:r w:rsidRPr="003A7332">
              <w:rPr>
                <w:color w:val="000000" w:themeColor="text1"/>
              </w:rPr>
              <w:t xml:space="preserve">Single oral dose of 100 mg Sildenafil of both </w:t>
            </w:r>
            <w:proofErr w:type="spellStart"/>
            <w:r w:rsidRPr="003A7332">
              <w:rPr>
                <w:color w:val="000000" w:themeColor="text1"/>
              </w:rPr>
              <w:t>Satenafil</w:t>
            </w:r>
            <w:proofErr w:type="spellEnd"/>
            <w:r w:rsidRPr="003A7332">
              <w:rPr>
                <w:color w:val="000000" w:themeColor="text1"/>
              </w:rPr>
              <w:t xml:space="preserve"> 100 mg Film Coated Tablets manufactured by </w:t>
            </w:r>
            <w:proofErr w:type="spellStart"/>
            <w:r w:rsidRPr="003A7332">
              <w:rPr>
                <w:color w:val="000000" w:themeColor="text1"/>
              </w:rPr>
              <w:t>Organo</w:t>
            </w:r>
            <w:proofErr w:type="spellEnd"/>
            <w:r w:rsidRPr="003A7332">
              <w:rPr>
                <w:color w:val="000000" w:themeColor="text1"/>
              </w:rPr>
              <w:t xml:space="preserve"> for Pharmaceutical &amp; Chemical Industries (</w:t>
            </w:r>
            <w:proofErr w:type="spellStart"/>
            <w:r w:rsidRPr="003A7332">
              <w:rPr>
                <w:color w:val="000000" w:themeColor="text1"/>
              </w:rPr>
              <w:t>Organo</w:t>
            </w:r>
            <w:proofErr w:type="spellEnd"/>
            <w:r w:rsidRPr="003A7332">
              <w:rPr>
                <w:color w:val="000000" w:themeColor="text1"/>
              </w:rPr>
              <w:t xml:space="preserve"> Pharma) For </w:t>
            </w:r>
            <w:proofErr w:type="spellStart"/>
            <w:r w:rsidRPr="003A7332">
              <w:rPr>
                <w:color w:val="000000" w:themeColor="text1"/>
              </w:rPr>
              <w:t>Helwan</w:t>
            </w:r>
            <w:proofErr w:type="spellEnd"/>
            <w:r w:rsidRPr="003A7332">
              <w:rPr>
                <w:color w:val="000000" w:themeColor="text1"/>
              </w:rPr>
              <w:t xml:space="preserve"> pharmaceutical and VIAGRA</w:t>
            </w:r>
            <w:r w:rsidRPr="003A7332">
              <w:rPr>
                <w:color w:val="000000" w:themeColor="text1"/>
                <w:vertAlign w:val="superscript"/>
              </w:rPr>
              <w:t>®</w:t>
            </w:r>
            <w:r w:rsidRPr="003A7332">
              <w:rPr>
                <w:color w:val="000000" w:themeColor="text1"/>
              </w:rPr>
              <w:t xml:space="preserve"> 100 mg Film Coated Tablets manufactured by Pfizer Egypt S.A.E Cairo A.R.E under License of Pfizer –Inc., USA and its Subsidiary in UK</w:t>
            </w:r>
          </w:p>
        </w:tc>
      </w:tr>
      <w:tr w:rsidR="00F33720" w:rsidRPr="00A4632B" w:rsidTr="009F74DF">
        <w:tblPrEx>
          <w:tblCellMar>
            <w:left w:w="93" w:type="dxa"/>
          </w:tblCellMar>
        </w:tblPrEx>
        <w:trPr>
          <w:trHeight w:val="523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Methodology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3A7332">
              <w:rPr>
                <w:color w:val="000000" w:themeColor="text1"/>
              </w:rPr>
              <w:t>Eligible subjects received test and reference products as a single oral dose on two different occasions. Blood samples were collected at zero, 5 min, 10 min, 0.25, 0.5, 0.75, 1, 1.25, 1.5, 1.75, 2, 2.5, 3, 4, 6, 8, 12 &amp; 24 hours after dosing. Zero-hour blood sample (start) was taken before dosing. Sildenafil concentrations in blood samples were determined by a validated LC.MS.MS assay method</w:t>
            </w:r>
            <w:r w:rsidRPr="00A4632B">
              <w:t>.</w:t>
            </w:r>
          </w:p>
        </w:tc>
      </w:tr>
      <w:tr w:rsidR="00F33720" w:rsidRPr="00524CCA" w:rsidTr="009F74DF">
        <w:tblPrEx>
          <w:tblCellMar>
            <w:left w:w="93" w:type="dxa"/>
          </w:tblCellMar>
        </w:tblPrEx>
        <w:trPr>
          <w:trHeight w:val="620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Storage Period of Incurred Samples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524CCA" w:rsidRDefault="00F33720" w:rsidP="009F74DF">
            <w:pPr>
              <w:pStyle w:val="TableStyl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200 </w:t>
            </w:r>
            <w:r w:rsidRPr="00524CCA">
              <w:rPr>
                <w:color w:val="000000" w:themeColor="text1"/>
              </w:rPr>
              <w:t>days</w:t>
            </w:r>
          </w:p>
        </w:tc>
      </w:tr>
      <w:tr w:rsidR="00F33720" w:rsidRPr="00A4632B" w:rsidTr="009F74DF">
        <w:tblPrEx>
          <w:tblCellMar>
            <w:left w:w="93" w:type="dxa"/>
          </w:tblCellMar>
        </w:tblPrEx>
        <w:trPr>
          <w:trHeight w:val="924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Analytical Method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A826E4">
              <w:rPr>
                <w:color w:val="000000" w:themeColor="text1"/>
              </w:rPr>
              <w:t xml:space="preserve">A validated LC.MS.MS assay method for the determination of Sildenafil was conducted with lower limit of quantification (LLOQ) of 25 </w:t>
            </w:r>
            <w:proofErr w:type="spellStart"/>
            <w:r w:rsidRPr="00A826E4">
              <w:rPr>
                <w:color w:val="000000" w:themeColor="text1"/>
              </w:rPr>
              <w:t>ng</w:t>
            </w:r>
            <w:proofErr w:type="spellEnd"/>
            <w:r w:rsidRPr="00A826E4">
              <w:rPr>
                <w:color w:val="000000" w:themeColor="text1"/>
              </w:rPr>
              <w:t>/m</w:t>
            </w:r>
            <w:r>
              <w:rPr>
                <w:color w:val="000000" w:themeColor="text1"/>
              </w:rPr>
              <w:t>l</w:t>
            </w:r>
            <w:r w:rsidRPr="00A826E4">
              <w:rPr>
                <w:color w:val="000000" w:themeColor="text1"/>
              </w:rPr>
              <w:t>.</w:t>
            </w:r>
          </w:p>
        </w:tc>
      </w:tr>
      <w:tr w:rsidR="00F33720" w:rsidRPr="00A4632B" w:rsidTr="009F74DF">
        <w:tblPrEx>
          <w:tblCellMar>
            <w:left w:w="93" w:type="dxa"/>
          </w:tblCellMar>
        </w:tblPrEx>
        <w:trPr>
          <w:trHeight w:val="411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lastRenderedPageBreak/>
              <w:t>Criteria for Evaluation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A4632B">
              <w:t xml:space="preserve">Efficacy: Not applicable        </w:t>
            </w:r>
          </w:p>
          <w:p w:rsidR="00F33720" w:rsidRPr="00A4632B" w:rsidRDefault="00F33720" w:rsidP="009F74DF">
            <w:pPr>
              <w:pStyle w:val="TableStyle"/>
            </w:pPr>
            <w:r w:rsidRPr="00A4632B">
              <w:t>Pharmacodynamics: Not applicable</w:t>
            </w:r>
          </w:p>
          <w:p w:rsidR="00F33720" w:rsidRPr="00A4632B" w:rsidRDefault="00F33720" w:rsidP="009F74DF">
            <w:pPr>
              <w:pStyle w:val="TableStyle"/>
            </w:pPr>
            <w:r w:rsidRPr="00A4632B">
              <w:t>Pharmacokinetics: AUC</w:t>
            </w:r>
            <w:r w:rsidRPr="00A4632B">
              <w:rPr>
                <w:vertAlign w:val="subscript"/>
              </w:rPr>
              <w:t xml:space="preserve">0-t </w:t>
            </w:r>
            <w:r w:rsidRPr="00A4632B">
              <w:t>, AUC</w:t>
            </w:r>
            <w:r w:rsidRPr="00A4632B">
              <w:rPr>
                <w:vertAlign w:val="subscript"/>
              </w:rPr>
              <w:t>0-∞</w:t>
            </w:r>
            <w:r w:rsidRPr="00A4632B">
              <w:t xml:space="preserve"> , </w:t>
            </w:r>
            <w:proofErr w:type="spellStart"/>
            <w:r w:rsidRPr="00A4632B">
              <w:t>C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t xml:space="preserve"> , </w:t>
            </w:r>
            <w:proofErr w:type="spellStart"/>
            <w:r w:rsidRPr="00A4632B">
              <w:t>T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rPr>
                <w:vertAlign w:val="subscript"/>
              </w:rPr>
              <w:t xml:space="preserve"> </w:t>
            </w:r>
            <w:r w:rsidRPr="00A4632B">
              <w:t>&amp;  t</w:t>
            </w:r>
            <w:r w:rsidRPr="00A4632B">
              <w:rPr>
                <w:vertAlign w:val="subscript"/>
              </w:rPr>
              <w:t>1/2</w:t>
            </w:r>
          </w:p>
        </w:tc>
      </w:tr>
      <w:tr w:rsidR="00F33720" w:rsidRPr="00A4632B" w:rsidTr="009F74DF">
        <w:tblPrEx>
          <w:tblCellMar>
            <w:left w:w="93" w:type="dxa"/>
          </w:tblCellMar>
        </w:tblPrEx>
        <w:trPr>
          <w:trHeight w:val="645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Statistical Methods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5A6221">
              <w:t xml:space="preserve">The statistical analysis was performed according to the method of </w:t>
            </w:r>
            <w:proofErr w:type="spellStart"/>
            <w:r w:rsidRPr="005A6221">
              <w:t>Schuirmann</w:t>
            </w:r>
            <w:proofErr w:type="spellEnd"/>
            <w:r w:rsidRPr="005A6221">
              <w:t xml:space="preserve"> (1987) *.</w:t>
            </w:r>
            <w:r w:rsidRPr="00A4632B">
              <w:t xml:space="preserve"> The assessment of bioequivalence between the test and the reference products was based on the ratios of the mean pharmacokinetic parameter AUC</w:t>
            </w:r>
            <w:r w:rsidRPr="00A4632B">
              <w:rPr>
                <w:vertAlign w:val="subscript"/>
              </w:rPr>
              <w:t>0-t</w:t>
            </w:r>
            <w:r w:rsidRPr="00A4632B">
              <w:t>, AUC</w:t>
            </w:r>
            <w:r w:rsidRPr="00A4632B">
              <w:rPr>
                <w:vertAlign w:val="subscript"/>
              </w:rPr>
              <w:t>0-∞</w:t>
            </w:r>
            <w:r w:rsidRPr="00A4632B">
              <w:t xml:space="preserve">, </w:t>
            </w:r>
            <w:proofErr w:type="spellStart"/>
            <w:r w:rsidRPr="00A4632B">
              <w:t>C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t xml:space="preserve">, </w:t>
            </w:r>
            <w:proofErr w:type="spellStart"/>
            <w:r w:rsidRPr="00A4632B">
              <w:t>T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rPr>
                <w:vertAlign w:val="subscript"/>
              </w:rPr>
              <w:t xml:space="preserve"> </w:t>
            </w:r>
            <w:r w:rsidRPr="00A4632B">
              <w:t>&amp; t</w:t>
            </w:r>
            <w:r w:rsidRPr="00A4632B">
              <w:rPr>
                <w:vertAlign w:val="subscript"/>
              </w:rPr>
              <w:t>1/2</w:t>
            </w:r>
            <w:r w:rsidRPr="00A4632B">
              <w:t>. The Bioequivalence (BE) was concluded if either tail probability did not exceed the 90 % confidence limit and was completely contained in the 0.80 - 1.25 ranges for AUC</w:t>
            </w:r>
            <w:r w:rsidRPr="00A4632B">
              <w:rPr>
                <w:vertAlign w:val="subscript"/>
              </w:rPr>
              <w:t>0-t</w:t>
            </w:r>
            <w:r w:rsidRPr="00A4632B">
              <w:t>, AUC</w:t>
            </w:r>
            <w:r w:rsidRPr="00A4632B">
              <w:rPr>
                <w:vertAlign w:val="subscript"/>
              </w:rPr>
              <w:t>0-∞</w:t>
            </w:r>
            <w:r w:rsidRPr="00A4632B">
              <w:t xml:space="preserve"> and in the 0.80 -1.25 range for </w:t>
            </w:r>
            <w:proofErr w:type="spellStart"/>
            <w:r w:rsidRPr="00A4632B">
              <w:t>C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t xml:space="preserve">. Analysis of variance (ANOVA) is performed on pharmacokinetic parameters AUCs, </w:t>
            </w:r>
            <w:proofErr w:type="spellStart"/>
            <w:r w:rsidRPr="00A4632B">
              <w:t>T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rPr>
                <w:vertAlign w:val="subscript"/>
              </w:rPr>
              <w:t xml:space="preserve"> </w:t>
            </w:r>
            <w:r w:rsidRPr="00A4632B">
              <w:t xml:space="preserve">&amp; </w:t>
            </w:r>
            <w:proofErr w:type="spellStart"/>
            <w:r w:rsidRPr="00A4632B">
              <w:t>C</w:t>
            </w:r>
            <w:r w:rsidRPr="00A4632B">
              <w:rPr>
                <w:vertAlign w:val="subscript"/>
              </w:rPr>
              <w:t>max</w:t>
            </w:r>
            <w:proofErr w:type="spellEnd"/>
            <w:r w:rsidRPr="00A4632B">
              <w:t>.</w:t>
            </w:r>
          </w:p>
        </w:tc>
      </w:tr>
      <w:tr w:rsidR="00F33720" w:rsidRPr="00A4632B" w:rsidTr="009F74DF">
        <w:tblPrEx>
          <w:tblCellMar>
            <w:left w:w="93" w:type="dxa"/>
          </w:tblCellMar>
        </w:tblPrEx>
        <w:trPr>
          <w:trHeight w:val="707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Safety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A4632B">
              <w:t>Pre-study: Vital Signs, Laboratory screening tests</w:t>
            </w:r>
          </w:p>
          <w:p w:rsidR="00F33720" w:rsidRPr="00A4632B" w:rsidRDefault="00F33720" w:rsidP="009F74DF">
            <w:pPr>
              <w:pStyle w:val="TableStyle"/>
            </w:pPr>
            <w:r w:rsidRPr="00A4632B">
              <w:t>Throughout the study: Vital signs and adverse events</w:t>
            </w:r>
          </w:p>
        </w:tc>
      </w:tr>
      <w:tr w:rsidR="00F33720" w:rsidRPr="00A4632B" w:rsidTr="009F74DF">
        <w:tblPrEx>
          <w:tblCellMar>
            <w:left w:w="93" w:type="dxa"/>
          </w:tblCellMar>
        </w:tblPrEx>
        <w:trPr>
          <w:trHeight w:val="645"/>
        </w:trPr>
        <w:tc>
          <w:tcPr>
            <w:tcW w:w="2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0F1E1F" w:rsidRDefault="00F33720" w:rsidP="009F74DF">
            <w:pPr>
              <w:pStyle w:val="TableStyle"/>
              <w:rPr>
                <w:rStyle w:val="Strong"/>
              </w:rPr>
            </w:pPr>
            <w:r w:rsidRPr="000F1E1F">
              <w:rPr>
                <w:rStyle w:val="Strong"/>
              </w:rPr>
              <w:t>Conclusion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33720" w:rsidRPr="00A4632B" w:rsidRDefault="00F33720" w:rsidP="009F74DF">
            <w:pPr>
              <w:pStyle w:val="TableStyle"/>
            </w:pPr>
            <w:r w:rsidRPr="00A4632B">
              <w:t xml:space="preserve">The Test product, </w:t>
            </w:r>
            <w:proofErr w:type="spellStart"/>
            <w:r w:rsidRPr="00A826E4">
              <w:rPr>
                <w:color w:val="000000" w:themeColor="text1"/>
              </w:rPr>
              <w:t>Satenafil</w:t>
            </w:r>
            <w:proofErr w:type="spellEnd"/>
            <w:r w:rsidRPr="00A826E4">
              <w:rPr>
                <w:color w:val="000000" w:themeColor="text1"/>
              </w:rPr>
              <w:t xml:space="preserve"> 100 mg Film Coated Tablets manufactured by </w:t>
            </w:r>
            <w:proofErr w:type="spellStart"/>
            <w:r w:rsidRPr="00A826E4">
              <w:rPr>
                <w:color w:val="000000" w:themeColor="text1"/>
              </w:rPr>
              <w:t>Organo</w:t>
            </w:r>
            <w:proofErr w:type="spellEnd"/>
            <w:r w:rsidRPr="00A826E4">
              <w:rPr>
                <w:color w:val="000000" w:themeColor="text1"/>
              </w:rPr>
              <w:t xml:space="preserve"> for Pharmaceutical   &amp; Chemical Industries (</w:t>
            </w:r>
            <w:proofErr w:type="spellStart"/>
            <w:r w:rsidRPr="00A826E4">
              <w:rPr>
                <w:color w:val="000000" w:themeColor="text1"/>
              </w:rPr>
              <w:t>Organo</w:t>
            </w:r>
            <w:proofErr w:type="spellEnd"/>
            <w:r w:rsidRPr="00A826E4">
              <w:rPr>
                <w:color w:val="000000" w:themeColor="text1"/>
              </w:rPr>
              <w:t xml:space="preserve"> Pharma) For </w:t>
            </w:r>
            <w:proofErr w:type="spellStart"/>
            <w:r w:rsidRPr="00A826E4">
              <w:rPr>
                <w:color w:val="000000" w:themeColor="text1"/>
              </w:rPr>
              <w:t>Helwan</w:t>
            </w:r>
            <w:proofErr w:type="spellEnd"/>
            <w:r w:rsidRPr="00A826E4">
              <w:rPr>
                <w:color w:val="000000" w:themeColor="text1"/>
              </w:rPr>
              <w:t xml:space="preserve"> pharmaceutical is bioequivalent to the reference drug, VIAGRA</w:t>
            </w:r>
            <w:r w:rsidRPr="00A826E4">
              <w:rPr>
                <w:color w:val="000000" w:themeColor="text1"/>
                <w:vertAlign w:val="superscript"/>
              </w:rPr>
              <w:t>®</w:t>
            </w:r>
            <w:r w:rsidRPr="00A826E4">
              <w:rPr>
                <w:color w:val="000000" w:themeColor="text1"/>
              </w:rPr>
              <w:t xml:space="preserve"> 100 mg Film Coated Tablets </w:t>
            </w:r>
          </w:p>
        </w:tc>
      </w:tr>
    </w:tbl>
    <w:p w:rsidR="00F33720" w:rsidRPr="000F1E1F" w:rsidRDefault="00F33720" w:rsidP="000F1E1F">
      <w:pPr>
        <w:rPr>
          <w:rStyle w:val="FootnoteReference"/>
          <w:vertAlign w:val="baseline"/>
        </w:rPr>
      </w:pPr>
    </w:p>
    <w:sectPr w:rsidR="00F33720" w:rsidRPr="000F1E1F" w:rsidSect="0076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F2B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006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860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18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5E4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3A8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C6FC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B00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BC7362"/>
    <w:multiLevelType w:val="hybridMultilevel"/>
    <w:tmpl w:val="2A2A0C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59FC"/>
    <w:multiLevelType w:val="hybridMultilevel"/>
    <w:tmpl w:val="C6D2E37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B4F69"/>
    <w:multiLevelType w:val="hybridMultilevel"/>
    <w:tmpl w:val="795C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77EA7"/>
    <w:multiLevelType w:val="hybridMultilevel"/>
    <w:tmpl w:val="651C4D6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3"/>
  </w:num>
  <w:num w:numId="8">
    <w:abstractNumId w:val="3"/>
  </w:num>
  <w:num w:numId="9">
    <w:abstractNumId w:val="8"/>
  </w:num>
  <w:num w:numId="10">
    <w:abstractNumId w:val="9"/>
  </w:num>
  <w:num w:numId="11">
    <w:abstractNumId w:val="8"/>
  </w:num>
  <w:num w:numId="12">
    <w:abstractNumId w:val="7"/>
  </w:num>
  <w:num w:numId="13">
    <w:abstractNumId w:val="3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0"/>
  </w:num>
  <w:num w:numId="23">
    <w:abstractNumId w:val="12"/>
  </w:num>
  <w:num w:numId="2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LMwNjQyMTW0NDSwNDZQ0lEKTi0uzszPAykwqgUApyZRjSwAAAA="/>
  </w:docVars>
  <w:rsids>
    <w:rsidRoot w:val="00296656"/>
    <w:rsid w:val="00003DA0"/>
    <w:rsid w:val="000062E8"/>
    <w:rsid w:val="00006BCF"/>
    <w:rsid w:val="000072C1"/>
    <w:rsid w:val="00014170"/>
    <w:rsid w:val="0001551A"/>
    <w:rsid w:val="00016F37"/>
    <w:rsid w:val="0001718B"/>
    <w:rsid w:val="00022AE4"/>
    <w:rsid w:val="00022F65"/>
    <w:rsid w:val="00023FED"/>
    <w:rsid w:val="00024CBB"/>
    <w:rsid w:val="0002584E"/>
    <w:rsid w:val="00026345"/>
    <w:rsid w:val="00026B07"/>
    <w:rsid w:val="00027789"/>
    <w:rsid w:val="00033CB8"/>
    <w:rsid w:val="00034861"/>
    <w:rsid w:val="00034B25"/>
    <w:rsid w:val="000371A1"/>
    <w:rsid w:val="00037B8D"/>
    <w:rsid w:val="00037C78"/>
    <w:rsid w:val="00040A1E"/>
    <w:rsid w:val="0004168A"/>
    <w:rsid w:val="0004334B"/>
    <w:rsid w:val="00043A35"/>
    <w:rsid w:val="00043D40"/>
    <w:rsid w:val="00047016"/>
    <w:rsid w:val="000502D3"/>
    <w:rsid w:val="00051D81"/>
    <w:rsid w:val="00051EEA"/>
    <w:rsid w:val="00052A83"/>
    <w:rsid w:val="00054399"/>
    <w:rsid w:val="00056975"/>
    <w:rsid w:val="00056AC1"/>
    <w:rsid w:val="00060F17"/>
    <w:rsid w:val="00067675"/>
    <w:rsid w:val="00071312"/>
    <w:rsid w:val="0007326E"/>
    <w:rsid w:val="00075B64"/>
    <w:rsid w:val="00075E30"/>
    <w:rsid w:val="00077176"/>
    <w:rsid w:val="0009049C"/>
    <w:rsid w:val="00092F62"/>
    <w:rsid w:val="000932AD"/>
    <w:rsid w:val="00096372"/>
    <w:rsid w:val="00097853"/>
    <w:rsid w:val="000A3D76"/>
    <w:rsid w:val="000A48CA"/>
    <w:rsid w:val="000A5580"/>
    <w:rsid w:val="000A5F8B"/>
    <w:rsid w:val="000B1869"/>
    <w:rsid w:val="000B45AD"/>
    <w:rsid w:val="000B47AF"/>
    <w:rsid w:val="000B7C76"/>
    <w:rsid w:val="000C30D3"/>
    <w:rsid w:val="000C6F3E"/>
    <w:rsid w:val="000C74FF"/>
    <w:rsid w:val="000D0C3F"/>
    <w:rsid w:val="000D2242"/>
    <w:rsid w:val="000D3974"/>
    <w:rsid w:val="000D3B9A"/>
    <w:rsid w:val="000D3CA9"/>
    <w:rsid w:val="000D63C9"/>
    <w:rsid w:val="000D6F26"/>
    <w:rsid w:val="000E00FD"/>
    <w:rsid w:val="000E0E73"/>
    <w:rsid w:val="000E3924"/>
    <w:rsid w:val="000E3F18"/>
    <w:rsid w:val="000E3F21"/>
    <w:rsid w:val="000E6C13"/>
    <w:rsid w:val="000F073B"/>
    <w:rsid w:val="000F1E1F"/>
    <w:rsid w:val="000F7718"/>
    <w:rsid w:val="00100FD7"/>
    <w:rsid w:val="00103D01"/>
    <w:rsid w:val="00106668"/>
    <w:rsid w:val="001074C2"/>
    <w:rsid w:val="00110932"/>
    <w:rsid w:val="00111894"/>
    <w:rsid w:val="00112103"/>
    <w:rsid w:val="001128AB"/>
    <w:rsid w:val="001129B7"/>
    <w:rsid w:val="0012262D"/>
    <w:rsid w:val="0012310A"/>
    <w:rsid w:val="00124A5A"/>
    <w:rsid w:val="00124BAB"/>
    <w:rsid w:val="001255CB"/>
    <w:rsid w:val="00125EF1"/>
    <w:rsid w:val="001269DE"/>
    <w:rsid w:val="0012725F"/>
    <w:rsid w:val="00136197"/>
    <w:rsid w:val="0013785B"/>
    <w:rsid w:val="001401C4"/>
    <w:rsid w:val="001416B1"/>
    <w:rsid w:val="00141EBB"/>
    <w:rsid w:val="001455D1"/>
    <w:rsid w:val="001457F1"/>
    <w:rsid w:val="00147E91"/>
    <w:rsid w:val="00152617"/>
    <w:rsid w:val="00152872"/>
    <w:rsid w:val="00153305"/>
    <w:rsid w:val="00153BB4"/>
    <w:rsid w:val="00155135"/>
    <w:rsid w:val="001556BF"/>
    <w:rsid w:val="00155AFC"/>
    <w:rsid w:val="001568C6"/>
    <w:rsid w:val="0016539F"/>
    <w:rsid w:val="001660D4"/>
    <w:rsid w:val="00166550"/>
    <w:rsid w:val="0016710D"/>
    <w:rsid w:val="00167416"/>
    <w:rsid w:val="001706AC"/>
    <w:rsid w:val="00170C86"/>
    <w:rsid w:val="00174B00"/>
    <w:rsid w:val="00174CE6"/>
    <w:rsid w:val="001803C3"/>
    <w:rsid w:val="00180C11"/>
    <w:rsid w:val="00180C2F"/>
    <w:rsid w:val="00183410"/>
    <w:rsid w:val="00184157"/>
    <w:rsid w:val="0018462A"/>
    <w:rsid w:val="00185285"/>
    <w:rsid w:val="0018566E"/>
    <w:rsid w:val="00193548"/>
    <w:rsid w:val="00194C58"/>
    <w:rsid w:val="00195556"/>
    <w:rsid w:val="00196A5A"/>
    <w:rsid w:val="001A3F83"/>
    <w:rsid w:val="001A43E0"/>
    <w:rsid w:val="001A7550"/>
    <w:rsid w:val="001A79BE"/>
    <w:rsid w:val="001B11E5"/>
    <w:rsid w:val="001B1971"/>
    <w:rsid w:val="001B2AB6"/>
    <w:rsid w:val="001B3046"/>
    <w:rsid w:val="001B3B04"/>
    <w:rsid w:val="001B6E37"/>
    <w:rsid w:val="001C3210"/>
    <w:rsid w:val="001C39AC"/>
    <w:rsid w:val="001C4859"/>
    <w:rsid w:val="001C6E34"/>
    <w:rsid w:val="001C70D4"/>
    <w:rsid w:val="001C7737"/>
    <w:rsid w:val="001D1EEE"/>
    <w:rsid w:val="001D3845"/>
    <w:rsid w:val="001D479F"/>
    <w:rsid w:val="001D7610"/>
    <w:rsid w:val="001E2006"/>
    <w:rsid w:val="001E552E"/>
    <w:rsid w:val="001F00A4"/>
    <w:rsid w:val="001F17FC"/>
    <w:rsid w:val="001F5FD0"/>
    <w:rsid w:val="00201AD8"/>
    <w:rsid w:val="0020797A"/>
    <w:rsid w:val="002163CB"/>
    <w:rsid w:val="00225F0C"/>
    <w:rsid w:val="00225F1C"/>
    <w:rsid w:val="002260FD"/>
    <w:rsid w:val="002301B6"/>
    <w:rsid w:val="00230BBD"/>
    <w:rsid w:val="002315E6"/>
    <w:rsid w:val="00237760"/>
    <w:rsid w:val="00237B12"/>
    <w:rsid w:val="00237D7B"/>
    <w:rsid w:val="002421A0"/>
    <w:rsid w:val="0024523C"/>
    <w:rsid w:val="00247004"/>
    <w:rsid w:val="0025039A"/>
    <w:rsid w:val="002509A8"/>
    <w:rsid w:val="0025339A"/>
    <w:rsid w:val="00253493"/>
    <w:rsid w:val="00253551"/>
    <w:rsid w:val="00255056"/>
    <w:rsid w:val="002554C4"/>
    <w:rsid w:val="00255886"/>
    <w:rsid w:val="002563E8"/>
    <w:rsid w:val="0025660D"/>
    <w:rsid w:val="002602DC"/>
    <w:rsid w:val="002618A2"/>
    <w:rsid w:val="00270CB6"/>
    <w:rsid w:val="002722B5"/>
    <w:rsid w:val="00275112"/>
    <w:rsid w:val="00276527"/>
    <w:rsid w:val="0027730C"/>
    <w:rsid w:val="00277AA8"/>
    <w:rsid w:val="00280D87"/>
    <w:rsid w:val="0028654B"/>
    <w:rsid w:val="00286816"/>
    <w:rsid w:val="00286916"/>
    <w:rsid w:val="00287368"/>
    <w:rsid w:val="00291768"/>
    <w:rsid w:val="00291B6F"/>
    <w:rsid w:val="0029355C"/>
    <w:rsid w:val="00296020"/>
    <w:rsid w:val="00296606"/>
    <w:rsid w:val="00296656"/>
    <w:rsid w:val="00296D6B"/>
    <w:rsid w:val="002A364C"/>
    <w:rsid w:val="002B3890"/>
    <w:rsid w:val="002B394E"/>
    <w:rsid w:val="002B4CEE"/>
    <w:rsid w:val="002B50CB"/>
    <w:rsid w:val="002C2ECF"/>
    <w:rsid w:val="002C453C"/>
    <w:rsid w:val="002C4929"/>
    <w:rsid w:val="002D0C56"/>
    <w:rsid w:val="002D69AC"/>
    <w:rsid w:val="002D7325"/>
    <w:rsid w:val="002D7A33"/>
    <w:rsid w:val="002E42C8"/>
    <w:rsid w:val="002E6251"/>
    <w:rsid w:val="002F11C4"/>
    <w:rsid w:val="00300EE0"/>
    <w:rsid w:val="003034C0"/>
    <w:rsid w:val="003070FD"/>
    <w:rsid w:val="00310FA9"/>
    <w:rsid w:val="00312B2A"/>
    <w:rsid w:val="00317CE0"/>
    <w:rsid w:val="003225EF"/>
    <w:rsid w:val="0032392C"/>
    <w:rsid w:val="00325C2F"/>
    <w:rsid w:val="003276AB"/>
    <w:rsid w:val="003277DC"/>
    <w:rsid w:val="00327AEE"/>
    <w:rsid w:val="003314C0"/>
    <w:rsid w:val="00334F0D"/>
    <w:rsid w:val="00336DCB"/>
    <w:rsid w:val="00340558"/>
    <w:rsid w:val="0034717F"/>
    <w:rsid w:val="00350D09"/>
    <w:rsid w:val="00350D38"/>
    <w:rsid w:val="003513A5"/>
    <w:rsid w:val="00352211"/>
    <w:rsid w:val="003534F5"/>
    <w:rsid w:val="003602C4"/>
    <w:rsid w:val="00360645"/>
    <w:rsid w:val="0036088E"/>
    <w:rsid w:val="00360917"/>
    <w:rsid w:val="00360EB6"/>
    <w:rsid w:val="00361075"/>
    <w:rsid w:val="003641A7"/>
    <w:rsid w:val="00364A3E"/>
    <w:rsid w:val="00364C27"/>
    <w:rsid w:val="00367669"/>
    <w:rsid w:val="00372D20"/>
    <w:rsid w:val="00376B98"/>
    <w:rsid w:val="003773BD"/>
    <w:rsid w:val="0038224F"/>
    <w:rsid w:val="003824EA"/>
    <w:rsid w:val="0038502A"/>
    <w:rsid w:val="00387B0E"/>
    <w:rsid w:val="00387DED"/>
    <w:rsid w:val="003909B9"/>
    <w:rsid w:val="00393405"/>
    <w:rsid w:val="003945B5"/>
    <w:rsid w:val="0039603F"/>
    <w:rsid w:val="0039698C"/>
    <w:rsid w:val="00396D43"/>
    <w:rsid w:val="003A01D6"/>
    <w:rsid w:val="003A140C"/>
    <w:rsid w:val="003A23B4"/>
    <w:rsid w:val="003A3EF2"/>
    <w:rsid w:val="003A44F5"/>
    <w:rsid w:val="003A50D4"/>
    <w:rsid w:val="003A73DF"/>
    <w:rsid w:val="003B2822"/>
    <w:rsid w:val="003B2FD7"/>
    <w:rsid w:val="003B42B2"/>
    <w:rsid w:val="003B488E"/>
    <w:rsid w:val="003B498C"/>
    <w:rsid w:val="003B5BE7"/>
    <w:rsid w:val="003B75BA"/>
    <w:rsid w:val="003B7FD9"/>
    <w:rsid w:val="003C16DB"/>
    <w:rsid w:val="003C293A"/>
    <w:rsid w:val="003C3F3B"/>
    <w:rsid w:val="003C7690"/>
    <w:rsid w:val="003C7A95"/>
    <w:rsid w:val="003D1F08"/>
    <w:rsid w:val="003D4E0C"/>
    <w:rsid w:val="003D64BE"/>
    <w:rsid w:val="003D7A69"/>
    <w:rsid w:val="003E4C7C"/>
    <w:rsid w:val="003E5464"/>
    <w:rsid w:val="003E72D9"/>
    <w:rsid w:val="003F1462"/>
    <w:rsid w:val="004003EE"/>
    <w:rsid w:val="00400D5C"/>
    <w:rsid w:val="004059F4"/>
    <w:rsid w:val="00407111"/>
    <w:rsid w:val="004108D3"/>
    <w:rsid w:val="004113A0"/>
    <w:rsid w:val="00412658"/>
    <w:rsid w:val="0041611A"/>
    <w:rsid w:val="00416322"/>
    <w:rsid w:val="004167D0"/>
    <w:rsid w:val="00416DBB"/>
    <w:rsid w:val="00421557"/>
    <w:rsid w:val="00421618"/>
    <w:rsid w:val="004217E8"/>
    <w:rsid w:val="004235BB"/>
    <w:rsid w:val="00426C7C"/>
    <w:rsid w:val="0042794D"/>
    <w:rsid w:val="00427DB7"/>
    <w:rsid w:val="00433C64"/>
    <w:rsid w:val="00436132"/>
    <w:rsid w:val="00436A05"/>
    <w:rsid w:val="00436EFA"/>
    <w:rsid w:val="004370DE"/>
    <w:rsid w:val="0044085A"/>
    <w:rsid w:val="00441017"/>
    <w:rsid w:val="00443837"/>
    <w:rsid w:val="00444201"/>
    <w:rsid w:val="00445394"/>
    <w:rsid w:val="004473D5"/>
    <w:rsid w:val="00450B05"/>
    <w:rsid w:val="00453A02"/>
    <w:rsid w:val="00454EA0"/>
    <w:rsid w:val="00457AC5"/>
    <w:rsid w:val="00460D05"/>
    <w:rsid w:val="00464299"/>
    <w:rsid w:val="0046439D"/>
    <w:rsid w:val="00464EDA"/>
    <w:rsid w:val="00470FA0"/>
    <w:rsid w:val="00475422"/>
    <w:rsid w:val="00475ED6"/>
    <w:rsid w:val="00476AE5"/>
    <w:rsid w:val="004776CC"/>
    <w:rsid w:val="00480560"/>
    <w:rsid w:val="004823B5"/>
    <w:rsid w:val="004830A0"/>
    <w:rsid w:val="00484EC0"/>
    <w:rsid w:val="00486B19"/>
    <w:rsid w:val="00487602"/>
    <w:rsid w:val="00490F31"/>
    <w:rsid w:val="00493C56"/>
    <w:rsid w:val="004A0123"/>
    <w:rsid w:val="004A161A"/>
    <w:rsid w:val="004A25DA"/>
    <w:rsid w:val="004A3B33"/>
    <w:rsid w:val="004A579D"/>
    <w:rsid w:val="004A5FF0"/>
    <w:rsid w:val="004B006C"/>
    <w:rsid w:val="004B3094"/>
    <w:rsid w:val="004B3115"/>
    <w:rsid w:val="004B6F8F"/>
    <w:rsid w:val="004B7069"/>
    <w:rsid w:val="004B710B"/>
    <w:rsid w:val="004B7F07"/>
    <w:rsid w:val="004C06E5"/>
    <w:rsid w:val="004C0F9D"/>
    <w:rsid w:val="004C5497"/>
    <w:rsid w:val="004C56F4"/>
    <w:rsid w:val="004C5DF4"/>
    <w:rsid w:val="004D1FC0"/>
    <w:rsid w:val="004D1FCB"/>
    <w:rsid w:val="004D2B94"/>
    <w:rsid w:val="004D36FD"/>
    <w:rsid w:val="004D48AF"/>
    <w:rsid w:val="004D5896"/>
    <w:rsid w:val="004D5D4F"/>
    <w:rsid w:val="004D7364"/>
    <w:rsid w:val="004D76CE"/>
    <w:rsid w:val="004E2D2D"/>
    <w:rsid w:val="004F0727"/>
    <w:rsid w:val="004F1FAC"/>
    <w:rsid w:val="004F37BF"/>
    <w:rsid w:val="004F66EE"/>
    <w:rsid w:val="004F7E6D"/>
    <w:rsid w:val="00502989"/>
    <w:rsid w:val="00503729"/>
    <w:rsid w:val="005037B8"/>
    <w:rsid w:val="00505A40"/>
    <w:rsid w:val="00514685"/>
    <w:rsid w:val="0051523B"/>
    <w:rsid w:val="00515494"/>
    <w:rsid w:val="00516AC2"/>
    <w:rsid w:val="00520422"/>
    <w:rsid w:val="0052307E"/>
    <w:rsid w:val="00523142"/>
    <w:rsid w:val="00524B08"/>
    <w:rsid w:val="00525A6A"/>
    <w:rsid w:val="00525D68"/>
    <w:rsid w:val="005265BE"/>
    <w:rsid w:val="00527C3B"/>
    <w:rsid w:val="00533AF1"/>
    <w:rsid w:val="00533C96"/>
    <w:rsid w:val="00533E54"/>
    <w:rsid w:val="00533FAE"/>
    <w:rsid w:val="0053665D"/>
    <w:rsid w:val="00540B67"/>
    <w:rsid w:val="0054186F"/>
    <w:rsid w:val="00542FA1"/>
    <w:rsid w:val="00545458"/>
    <w:rsid w:val="005530AD"/>
    <w:rsid w:val="005578D9"/>
    <w:rsid w:val="00562AF1"/>
    <w:rsid w:val="00566BB1"/>
    <w:rsid w:val="005675D2"/>
    <w:rsid w:val="00571517"/>
    <w:rsid w:val="00572BCD"/>
    <w:rsid w:val="00573F86"/>
    <w:rsid w:val="00574788"/>
    <w:rsid w:val="00574BFA"/>
    <w:rsid w:val="005758BF"/>
    <w:rsid w:val="00575CA3"/>
    <w:rsid w:val="00576E2C"/>
    <w:rsid w:val="005816B6"/>
    <w:rsid w:val="005833C6"/>
    <w:rsid w:val="005879DD"/>
    <w:rsid w:val="00591621"/>
    <w:rsid w:val="00594B9C"/>
    <w:rsid w:val="005964D4"/>
    <w:rsid w:val="005A00CC"/>
    <w:rsid w:val="005A5B10"/>
    <w:rsid w:val="005A70CE"/>
    <w:rsid w:val="005B06E3"/>
    <w:rsid w:val="005B0E3E"/>
    <w:rsid w:val="005B0F73"/>
    <w:rsid w:val="005B1026"/>
    <w:rsid w:val="005B23B5"/>
    <w:rsid w:val="005B4BF3"/>
    <w:rsid w:val="005B55E0"/>
    <w:rsid w:val="005B712E"/>
    <w:rsid w:val="005C319A"/>
    <w:rsid w:val="005C3A9B"/>
    <w:rsid w:val="005C4199"/>
    <w:rsid w:val="005C5AC3"/>
    <w:rsid w:val="005C6059"/>
    <w:rsid w:val="005C60D6"/>
    <w:rsid w:val="005C6CFB"/>
    <w:rsid w:val="005D0985"/>
    <w:rsid w:val="005D11FD"/>
    <w:rsid w:val="005D12AB"/>
    <w:rsid w:val="005D46EB"/>
    <w:rsid w:val="005D4A79"/>
    <w:rsid w:val="005D54ED"/>
    <w:rsid w:val="005D5EED"/>
    <w:rsid w:val="005E195E"/>
    <w:rsid w:val="005E25CF"/>
    <w:rsid w:val="005E31B6"/>
    <w:rsid w:val="005E3863"/>
    <w:rsid w:val="005E74EF"/>
    <w:rsid w:val="005F0ED5"/>
    <w:rsid w:val="005F4A49"/>
    <w:rsid w:val="005F6342"/>
    <w:rsid w:val="00600682"/>
    <w:rsid w:val="00601A96"/>
    <w:rsid w:val="006025D5"/>
    <w:rsid w:val="00605F7D"/>
    <w:rsid w:val="00606555"/>
    <w:rsid w:val="00606A1A"/>
    <w:rsid w:val="00606AD0"/>
    <w:rsid w:val="0060765E"/>
    <w:rsid w:val="00611862"/>
    <w:rsid w:val="00612479"/>
    <w:rsid w:val="0061404E"/>
    <w:rsid w:val="006218F8"/>
    <w:rsid w:val="006310EF"/>
    <w:rsid w:val="006316AB"/>
    <w:rsid w:val="00633C97"/>
    <w:rsid w:val="006349D0"/>
    <w:rsid w:val="00637C80"/>
    <w:rsid w:val="00641FC8"/>
    <w:rsid w:val="00645666"/>
    <w:rsid w:val="006466C9"/>
    <w:rsid w:val="00654386"/>
    <w:rsid w:val="00655390"/>
    <w:rsid w:val="00657137"/>
    <w:rsid w:val="00657FA3"/>
    <w:rsid w:val="0066065E"/>
    <w:rsid w:val="0066193A"/>
    <w:rsid w:val="0066226E"/>
    <w:rsid w:val="0066254E"/>
    <w:rsid w:val="00662935"/>
    <w:rsid w:val="00663C31"/>
    <w:rsid w:val="00665865"/>
    <w:rsid w:val="006665CC"/>
    <w:rsid w:val="00670589"/>
    <w:rsid w:val="00674D04"/>
    <w:rsid w:val="006752C8"/>
    <w:rsid w:val="00676E70"/>
    <w:rsid w:val="00682218"/>
    <w:rsid w:val="00683B58"/>
    <w:rsid w:val="006840CE"/>
    <w:rsid w:val="0068576E"/>
    <w:rsid w:val="006857AD"/>
    <w:rsid w:val="006878B9"/>
    <w:rsid w:val="00687D8E"/>
    <w:rsid w:val="00690C73"/>
    <w:rsid w:val="00693140"/>
    <w:rsid w:val="00693D51"/>
    <w:rsid w:val="00694722"/>
    <w:rsid w:val="00694A32"/>
    <w:rsid w:val="00695355"/>
    <w:rsid w:val="0069561F"/>
    <w:rsid w:val="00695ADA"/>
    <w:rsid w:val="006963EA"/>
    <w:rsid w:val="006A6440"/>
    <w:rsid w:val="006A7813"/>
    <w:rsid w:val="006B071C"/>
    <w:rsid w:val="006B195C"/>
    <w:rsid w:val="006B2991"/>
    <w:rsid w:val="006B60C2"/>
    <w:rsid w:val="006C146C"/>
    <w:rsid w:val="006D0C26"/>
    <w:rsid w:val="006D282A"/>
    <w:rsid w:val="006D3A1F"/>
    <w:rsid w:val="006D411C"/>
    <w:rsid w:val="006D434A"/>
    <w:rsid w:val="006D4E94"/>
    <w:rsid w:val="006D59EC"/>
    <w:rsid w:val="006D6778"/>
    <w:rsid w:val="006E0C4F"/>
    <w:rsid w:val="006E0E7C"/>
    <w:rsid w:val="006E1233"/>
    <w:rsid w:val="006E1E9A"/>
    <w:rsid w:val="006E2A01"/>
    <w:rsid w:val="006E3891"/>
    <w:rsid w:val="006E44B4"/>
    <w:rsid w:val="006E4731"/>
    <w:rsid w:val="006E5ACD"/>
    <w:rsid w:val="006E6D50"/>
    <w:rsid w:val="006E715A"/>
    <w:rsid w:val="006F031D"/>
    <w:rsid w:val="006F37F8"/>
    <w:rsid w:val="006F4813"/>
    <w:rsid w:val="006F4A24"/>
    <w:rsid w:val="006F7CB2"/>
    <w:rsid w:val="00700B4B"/>
    <w:rsid w:val="00700CAA"/>
    <w:rsid w:val="00700F2D"/>
    <w:rsid w:val="00701D86"/>
    <w:rsid w:val="00702DC6"/>
    <w:rsid w:val="00702EC4"/>
    <w:rsid w:val="00711B9D"/>
    <w:rsid w:val="00713ACA"/>
    <w:rsid w:val="00715420"/>
    <w:rsid w:val="00720C09"/>
    <w:rsid w:val="00721653"/>
    <w:rsid w:val="00722FA5"/>
    <w:rsid w:val="007231CA"/>
    <w:rsid w:val="007320DA"/>
    <w:rsid w:val="00735685"/>
    <w:rsid w:val="007403F0"/>
    <w:rsid w:val="00740564"/>
    <w:rsid w:val="007424C0"/>
    <w:rsid w:val="007447FC"/>
    <w:rsid w:val="00745596"/>
    <w:rsid w:val="00745E97"/>
    <w:rsid w:val="0075123A"/>
    <w:rsid w:val="00753EC6"/>
    <w:rsid w:val="00755891"/>
    <w:rsid w:val="00755EC1"/>
    <w:rsid w:val="00756901"/>
    <w:rsid w:val="00761B7F"/>
    <w:rsid w:val="007640DB"/>
    <w:rsid w:val="0076655F"/>
    <w:rsid w:val="0077243A"/>
    <w:rsid w:val="00772AC5"/>
    <w:rsid w:val="0077519D"/>
    <w:rsid w:val="0078416D"/>
    <w:rsid w:val="00784BC2"/>
    <w:rsid w:val="00786241"/>
    <w:rsid w:val="00787B04"/>
    <w:rsid w:val="00790988"/>
    <w:rsid w:val="00794450"/>
    <w:rsid w:val="007A04ED"/>
    <w:rsid w:val="007A36BD"/>
    <w:rsid w:val="007A424A"/>
    <w:rsid w:val="007A5971"/>
    <w:rsid w:val="007A5FAE"/>
    <w:rsid w:val="007A6A29"/>
    <w:rsid w:val="007A795E"/>
    <w:rsid w:val="007B04AA"/>
    <w:rsid w:val="007B11A1"/>
    <w:rsid w:val="007B14EB"/>
    <w:rsid w:val="007B5D69"/>
    <w:rsid w:val="007C0AA1"/>
    <w:rsid w:val="007C0C34"/>
    <w:rsid w:val="007C1096"/>
    <w:rsid w:val="007C1EB4"/>
    <w:rsid w:val="007C37A7"/>
    <w:rsid w:val="007D4813"/>
    <w:rsid w:val="007D4AA4"/>
    <w:rsid w:val="007E0667"/>
    <w:rsid w:val="007E1345"/>
    <w:rsid w:val="007E1D4D"/>
    <w:rsid w:val="007E3009"/>
    <w:rsid w:val="007E3148"/>
    <w:rsid w:val="007E3D30"/>
    <w:rsid w:val="007E6E14"/>
    <w:rsid w:val="007F00EF"/>
    <w:rsid w:val="007F0276"/>
    <w:rsid w:val="007F60BD"/>
    <w:rsid w:val="007F6F2A"/>
    <w:rsid w:val="008004A1"/>
    <w:rsid w:val="00800B66"/>
    <w:rsid w:val="008012D5"/>
    <w:rsid w:val="00801AEE"/>
    <w:rsid w:val="00803238"/>
    <w:rsid w:val="00803808"/>
    <w:rsid w:val="00803F20"/>
    <w:rsid w:val="00807382"/>
    <w:rsid w:val="008127D5"/>
    <w:rsid w:val="00812EF4"/>
    <w:rsid w:val="00813217"/>
    <w:rsid w:val="00817A83"/>
    <w:rsid w:val="008231DF"/>
    <w:rsid w:val="00823461"/>
    <w:rsid w:val="00823483"/>
    <w:rsid w:val="00824D7E"/>
    <w:rsid w:val="0082750D"/>
    <w:rsid w:val="00832711"/>
    <w:rsid w:val="008328B7"/>
    <w:rsid w:val="00832EC6"/>
    <w:rsid w:val="0083671E"/>
    <w:rsid w:val="008367C4"/>
    <w:rsid w:val="0084418C"/>
    <w:rsid w:val="00845A30"/>
    <w:rsid w:val="00853CCA"/>
    <w:rsid w:val="00854AFC"/>
    <w:rsid w:val="008577EF"/>
    <w:rsid w:val="00860478"/>
    <w:rsid w:val="0086316A"/>
    <w:rsid w:val="00865822"/>
    <w:rsid w:val="00870B62"/>
    <w:rsid w:val="00871235"/>
    <w:rsid w:val="00873C54"/>
    <w:rsid w:val="008762E8"/>
    <w:rsid w:val="00877F5F"/>
    <w:rsid w:val="008808D6"/>
    <w:rsid w:val="0088317D"/>
    <w:rsid w:val="00883599"/>
    <w:rsid w:val="00884CE1"/>
    <w:rsid w:val="008862EB"/>
    <w:rsid w:val="00886A5A"/>
    <w:rsid w:val="00887B5D"/>
    <w:rsid w:val="00887D98"/>
    <w:rsid w:val="00895624"/>
    <w:rsid w:val="00897ECA"/>
    <w:rsid w:val="008A0D16"/>
    <w:rsid w:val="008A0D54"/>
    <w:rsid w:val="008A1B72"/>
    <w:rsid w:val="008A453A"/>
    <w:rsid w:val="008A4C83"/>
    <w:rsid w:val="008B213D"/>
    <w:rsid w:val="008B2A4C"/>
    <w:rsid w:val="008B33E4"/>
    <w:rsid w:val="008B39AB"/>
    <w:rsid w:val="008B3BB4"/>
    <w:rsid w:val="008B48CB"/>
    <w:rsid w:val="008C0487"/>
    <w:rsid w:val="008C170C"/>
    <w:rsid w:val="008C222B"/>
    <w:rsid w:val="008C241B"/>
    <w:rsid w:val="008C2C63"/>
    <w:rsid w:val="008D1E6B"/>
    <w:rsid w:val="008D35BD"/>
    <w:rsid w:val="008D4B82"/>
    <w:rsid w:val="008D6061"/>
    <w:rsid w:val="008D7756"/>
    <w:rsid w:val="008D78EB"/>
    <w:rsid w:val="008E4C21"/>
    <w:rsid w:val="008E7538"/>
    <w:rsid w:val="008F10C7"/>
    <w:rsid w:val="008F371A"/>
    <w:rsid w:val="008F3F00"/>
    <w:rsid w:val="008F6A4E"/>
    <w:rsid w:val="008F7FCE"/>
    <w:rsid w:val="0090183C"/>
    <w:rsid w:val="0090210C"/>
    <w:rsid w:val="00902F99"/>
    <w:rsid w:val="0090309B"/>
    <w:rsid w:val="009034E4"/>
    <w:rsid w:val="009046CD"/>
    <w:rsid w:val="00904A79"/>
    <w:rsid w:val="00906856"/>
    <w:rsid w:val="00910A63"/>
    <w:rsid w:val="009136BC"/>
    <w:rsid w:val="009138E0"/>
    <w:rsid w:val="00915C86"/>
    <w:rsid w:val="009160DC"/>
    <w:rsid w:val="009165F6"/>
    <w:rsid w:val="0091775B"/>
    <w:rsid w:val="00917BA5"/>
    <w:rsid w:val="00920309"/>
    <w:rsid w:val="00922AA1"/>
    <w:rsid w:val="00922FE7"/>
    <w:rsid w:val="009248A2"/>
    <w:rsid w:val="0092722F"/>
    <w:rsid w:val="009301E3"/>
    <w:rsid w:val="00930A5F"/>
    <w:rsid w:val="00934072"/>
    <w:rsid w:val="009351F8"/>
    <w:rsid w:val="00936576"/>
    <w:rsid w:val="009367AA"/>
    <w:rsid w:val="009419B4"/>
    <w:rsid w:val="00943651"/>
    <w:rsid w:val="00946A57"/>
    <w:rsid w:val="009502B9"/>
    <w:rsid w:val="0095061A"/>
    <w:rsid w:val="00952CBF"/>
    <w:rsid w:val="0095394C"/>
    <w:rsid w:val="00953EB0"/>
    <w:rsid w:val="00957254"/>
    <w:rsid w:val="00957549"/>
    <w:rsid w:val="00957785"/>
    <w:rsid w:val="009653E0"/>
    <w:rsid w:val="00966B73"/>
    <w:rsid w:val="00967CED"/>
    <w:rsid w:val="00967DE8"/>
    <w:rsid w:val="00970392"/>
    <w:rsid w:val="00970EF2"/>
    <w:rsid w:val="00972025"/>
    <w:rsid w:val="00972EAF"/>
    <w:rsid w:val="009755DF"/>
    <w:rsid w:val="00980218"/>
    <w:rsid w:val="0098155C"/>
    <w:rsid w:val="00982CE9"/>
    <w:rsid w:val="00983C4B"/>
    <w:rsid w:val="00985505"/>
    <w:rsid w:val="00991316"/>
    <w:rsid w:val="0099316E"/>
    <w:rsid w:val="009967B2"/>
    <w:rsid w:val="0099792C"/>
    <w:rsid w:val="00997AE5"/>
    <w:rsid w:val="00997BC6"/>
    <w:rsid w:val="009A3400"/>
    <w:rsid w:val="009A58C8"/>
    <w:rsid w:val="009A5B1D"/>
    <w:rsid w:val="009A66BD"/>
    <w:rsid w:val="009A7F71"/>
    <w:rsid w:val="009B2592"/>
    <w:rsid w:val="009B3107"/>
    <w:rsid w:val="009B79C9"/>
    <w:rsid w:val="009B7FC5"/>
    <w:rsid w:val="009C0553"/>
    <w:rsid w:val="009C1D7D"/>
    <w:rsid w:val="009C28AA"/>
    <w:rsid w:val="009C2DC9"/>
    <w:rsid w:val="009C3C26"/>
    <w:rsid w:val="009C6B7E"/>
    <w:rsid w:val="009C6CE8"/>
    <w:rsid w:val="009C6EA5"/>
    <w:rsid w:val="009D137C"/>
    <w:rsid w:val="009D13DA"/>
    <w:rsid w:val="009D155E"/>
    <w:rsid w:val="009D2F33"/>
    <w:rsid w:val="009D31B1"/>
    <w:rsid w:val="009D383C"/>
    <w:rsid w:val="009D39F8"/>
    <w:rsid w:val="009D4098"/>
    <w:rsid w:val="009D4A93"/>
    <w:rsid w:val="009D61A1"/>
    <w:rsid w:val="009D6DE6"/>
    <w:rsid w:val="009D766F"/>
    <w:rsid w:val="009E0DEA"/>
    <w:rsid w:val="009E3F25"/>
    <w:rsid w:val="009E46CC"/>
    <w:rsid w:val="009E68BC"/>
    <w:rsid w:val="009E7E20"/>
    <w:rsid w:val="009F0034"/>
    <w:rsid w:val="009F007B"/>
    <w:rsid w:val="009F1684"/>
    <w:rsid w:val="009F2CCA"/>
    <w:rsid w:val="009F5F50"/>
    <w:rsid w:val="009F6AC4"/>
    <w:rsid w:val="009F7758"/>
    <w:rsid w:val="00A003D0"/>
    <w:rsid w:val="00A00D1B"/>
    <w:rsid w:val="00A01C37"/>
    <w:rsid w:val="00A024B1"/>
    <w:rsid w:val="00A02724"/>
    <w:rsid w:val="00A02E83"/>
    <w:rsid w:val="00A0350E"/>
    <w:rsid w:val="00A040B9"/>
    <w:rsid w:val="00A076E0"/>
    <w:rsid w:val="00A11FA8"/>
    <w:rsid w:val="00A12133"/>
    <w:rsid w:val="00A131E2"/>
    <w:rsid w:val="00A14067"/>
    <w:rsid w:val="00A17ADC"/>
    <w:rsid w:val="00A22547"/>
    <w:rsid w:val="00A227EA"/>
    <w:rsid w:val="00A22B02"/>
    <w:rsid w:val="00A22C87"/>
    <w:rsid w:val="00A22E13"/>
    <w:rsid w:val="00A23572"/>
    <w:rsid w:val="00A246A2"/>
    <w:rsid w:val="00A2500B"/>
    <w:rsid w:val="00A33475"/>
    <w:rsid w:val="00A3350F"/>
    <w:rsid w:val="00A34EB2"/>
    <w:rsid w:val="00A35BD9"/>
    <w:rsid w:val="00A36BDB"/>
    <w:rsid w:val="00A434B7"/>
    <w:rsid w:val="00A44AB3"/>
    <w:rsid w:val="00A46CAC"/>
    <w:rsid w:val="00A46EE1"/>
    <w:rsid w:val="00A535DD"/>
    <w:rsid w:val="00A53A31"/>
    <w:rsid w:val="00A5495C"/>
    <w:rsid w:val="00A5769F"/>
    <w:rsid w:val="00A6173B"/>
    <w:rsid w:val="00A61F5A"/>
    <w:rsid w:val="00A62C92"/>
    <w:rsid w:val="00A669C3"/>
    <w:rsid w:val="00A6727B"/>
    <w:rsid w:val="00A67366"/>
    <w:rsid w:val="00A67B9D"/>
    <w:rsid w:val="00A723E5"/>
    <w:rsid w:val="00A74763"/>
    <w:rsid w:val="00A7509F"/>
    <w:rsid w:val="00A8002A"/>
    <w:rsid w:val="00A81F34"/>
    <w:rsid w:val="00A837C1"/>
    <w:rsid w:val="00A83E8A"/>
    <w:rsid w:val="00A85CEB"/>
    <w:rsid w:val="00A862CC"/>
    <w:rsid w:val="00A86D86"/>
    <w:rsid w:val="00A8716A"/>
    <w:rsid w:val="00A87274"/>
    <w:rsid w:val="00A877BF"/>
    <w:rsid w:val="00A87E6E"/>
    <w:rsid w:val="00A9330C"/>
    <w:rsid w:val="00A93947"/>
    <w:rsid w:val="00AA1463"/>
    <w:rsid w:val="00AA27BD"/>
    <w:rsid w:val="00AA34E2"/>
    <w:rsid w:val="00AA5354"/>
    <w:rsid w:val="00AA6C62"/>
    <w:rsid w:val="00AA747F"/>
    <w:rsid w:val="00AB29B5"/>
    <w:rsid w:val="00AB3EA3"/>
    <w:rsid w:val="00AB4D37"/>
    <w:rsid w:val="00AB5C52"/>
    <w:rsid w:val="00AB6B55"/>
    <w:rsid w:val="00AB7417"/>
    <w:rsid w:val="00AC1372"/>
    <w:rsid w:val="00AC34F3"/>
    <w:rsid w:val="00AC6BEC"/>
    <w:rsid w:val="00AC6EB0"/>
    <w:rsid w:val="00AC6FE4"/>
    <w:rsid w:val="00AC74BF"/>
    <w:rsid w:val="00AC75C2"/>
    <w:rsid w:val="00AC7B4A"/>
    <w:rsid w:val="00AD0A3B"/>
    <w:rsid w:val="00AD0E26"/>
    <w:rsid w:val="00AD21B1"/>
    <w:rsid w:val="00AD34FC"/>
    <w:rsid w:val="00AD54CB"/>
    <w:rsid w:val="00AD788E"/>
    <w:rsid w:val="00AE0F4F"/>
    <w:rsid w:val="00AE3EDE"/>
    <w:rsid w:val="00AE57C5"/>
    <w:rsid w:val="00AE664B"/>
    <w:rsid w:val="00AE6BA4"/>
    <w:rsid w:val="00AF07D1"/>
    <w:rsid w:val="00AF18E0"/>
    <w:rsid w:val="00AF28C9"/>
    <w:rsid w:val="00AF358F"/>
    <w:rsid w:val="00AF3CD2"/>
    <w:rsid w:val="00AF6E51"/>
    <w:rsid w:val="00B004EB"/>
    <w:rsid w:val="00B0089D"/>
    <w:rsid w:val="00B01266"/>
    <w:rsid w:val="00B02F1E"/>
    <w:rsid w:val="00B043CB"/>
    <w:rsid w:val="00B04DB3"/>
    <w:rsid w:val="00B0720D"/>
    <w:rsid w:val="00B07306"/>
    <w:rsid w:val="00B07729"/>
    <w:rsid w:val="00B13200"/>
    <w:rsid w:val="00B15275"/>
    <w:rsid w:val="00B17882"/>
    <w:rsid w:val="00B2164E"/>
    <w:rsid w:val="00B21F20"/>
    <w:rsid w:val="00B243A7"/>
    <w:rsid w:val="00B30B36"/>
    <w:rsid w:val="00B319B2"/>
    <w:rsid w:val="00B3298A"/>
    <w:rsid w:val="00B43806"/>
    <w:rsid w:val="00B45D27"/>
    <w:rsid w:val="00B464B0"/>
    <w:rsid w:val="00B46F2E"/>
    <w:rsid w:val="00B514B6"/>
    <w:rsid w:val="00B52799"/>
    <w:rsid w:val="00B569BC"/>
    <w:rsid w:val="00B56F7C"/>
    <w:rsid w:val="00B5730C"/>
    <w:rsid w:val="00B61C2B"/>
    <w:rsid w:val="00B6281C"/>
    <w:rsid w:val="00B63B2C"/>
    <w:rsid w:val="00B64186"/>
    <w:rsid w:val="00B65BD1"/>
    <w:rsid w:val="00B6670D"/>
    <w:rsid w:val="00B73B1E"/>
    <w:rsid w:val="00B74930"/>
    <w:rsid w:val="00B77B6A"/>
    <w:rsid w:val="00B8179A"/>
    <w:rsid w:val="00B82E8C"/>
    <w:rsid w:val="00B8318E"/>
    <w:rsid w:val="00B849BD"/>
    <w:rsid w:val="00B85851"/>
    <w:rsid w:val="00B86926"/>
    <w:rsid w:val="00B8770F"/>
    <w:rsid w:val="00B92314"/>
    <w:rsid w:val="00B93287"/>
    <w:rsid w:val="00BA0548"/>
    <w:rsid w:val="00BA4937"/>
    <w:rsid w:val="00BB0594"/>
    <w:rsid w:val="00BB0E45"/>
    <w:rsid w:val="00BB2424"/>
    <w:rsid w:val="00BB2732"/>
    <w:rsid w:val="00BB294E"/>
    <w:rsid w:val="00BB631E"/>
    <w:rsid w:val="00BC1154"/>
    <w:rsid w:val="00BC301C"/>
    <w:rsid w:val="00BC4479"/>
    <w:rsid w:val="00BC5F17"/>
    <w:rsid w:val="00BC7CBF"/>
    <w:rsid w:val="00BC7D82"/>
    <w:rsid w:val="00BD2FDE"/>
    <w:rsid w:val="00BD462F"/>
    <w:rsid w:val="00BD5ECD"/>
    <w:rsid w:val="00BD7B8B"/>
    <w:rsid w:val="00BE05D7"/>
    <w:rsid w:val="00BE39EB"/>
    <w:rsid w:val="00BE5FD0"/>
    <w:rsid w:val="00BE7908"/>
    <w:rsid w:val="00BF1A18"/>
    <w:rsid w:val="00BF20E1"/>
    <w:rsid w:val="00BF3066"/>
    <w:rsid w:val="00BF3DFC"/>
    <w:rsid w:val="00BF4596"/>
    <w:rsid w:val="00C000AD"/>
    <w:rsid w:val="00C00621"/>
    <w:rsid w:val="00C0098A"/>
    <w:rsid w:val="00C01FD9"/>
    <w:rsid w:val="00C0390F"/>
    <w:rsid w:val="00C05CC1"/>
    <w:rsid w:val="00C05FDC"/>
    <w:rsid w:val="00C060AF"/>
    <w:rsid w:val="00C07DE9"/>
    <w:rsid w:val="00C07F67"/>
    <w:rsid w:val="00C07FC8"/>
    <w:rsid w:val="00C114C7"/>
    <w:rsid w:val="00C13481"/>
    <w:rsid w:val="00C14410"/>
    <w:rsid w:val="00C147A3"/>
    <w:rsid w:val="00C15143"/>
    <w:rsid w:val="00C156CB"/>
    <w:rsid w:val="00C1622E"/>
    <w:rsid w:val="00C203F5"/>
    <w:rsid w:val="00C2215C"/>
    <w:rsid w:val="00C23620"/>
    <w:rsid w:val="00C25EB5"/>
    <w:rsid w:val="00C407BD"/>
    <w:rsid w:val="00C40AF9"/>
    <w:rsid w:val="00C419F2"/>
    <w:rsid w:val="00C42594"/>
    <w:rsid w:val="00C42B9A"/>
    <w:rsid w:val="00C43417"/>
    <w:rsid w:val="00C45581"/>
    <w:rsid w:val="00C45D3C"/>
    <w:rsid w:val="00C4662A"/>
    <w:rsid w:val="00C46D2F"/>
    <w:rsid w:val="00C47659"/>
    <w:rsid w:val="00C5467C"/>
    <w:rsid w:val="00C554EE"/>
    <w:rsid w:val="00C6245D"/>
    <w:rsid w:val="00C64CBA"/>
    <w:rsid w:val="00C65D92"/>
    <w:rsid w:val="00C70723"/>
    <w:rsid w:val="00C718D2"/>
    <w:rsid w:val="00C73E9E"/>
    <w:rsid w:val="00C76197"/>
    <w:rsid w:val="00C77EA1"/>
    <w:rsid w:val="00C809C4"/>
    <w:rsid w:val="00C81558"/>
    <w:rsid w:val="00C81775"/>
    <w:rsid w:val="00C82986"/>
    <w:rsid w:val="00C830C9"/>
    <w:rsid w:val="00C84CA7"/>
    <w:rsid w:val="00C84F60"/>
    <w:rsid w:val="00C90E56"/>
    <w:rsid w:val="00C92DA0"/>
    <w:rsid w:val="00CA2CB1"/>
    <w:rsid w:val="00CA3229"/>
    <w:rsid w:val="00CA3A19"/>
    <w:rsid w:val="00CA5BCF"/>
    <w:rsid w:val="00CB1A51"/>
    <w:rsid w:val="00CB4F1A"/>
    <w:rsid w:val="00CB5669"/>
    <w:rsid w:val="00CB60BD"/>
    <w:rsid w:val="00CB60D5"/>
    <w:rsid w:val="00CC0296"/>
    <w:rsid w:val="00CC242B"/>
    <w:rsid w:val="00CC2AE7"/>
    <w:rsid w:val="00CC4B60"/>
    <w:rsid w:val="00CC5202"/>
    <w:rsid w:val="00CC7037"/>
    <w:rsid w:val="00CD11BF"/>
    <w:rsid w:val="00CD1E47"/>
    <w:rsid w:val="00CD2452"/>
    <w:rsid w:val="00CD27DF"/>
    <w:rsid w:val="00CD4F0E"/>
    <w:rsid w:val="00CD6806"/>
    <w:rsid w:val="00CE0706"/>
    <w:rsid w:val="00CE3301"/>
    <w:rsid w:val="00CE566C"/>
    <w:rsid w:val="00CE656B"/>
    <w:rsid w:val="00CE6589"/>
    <w:rsid w:val="00CE6EE1"/>
    <w:rsid w:val="00CF15FE"/>
    <w:rsid w:val="00CF180D"/>
    <w:rsid w:val="00CF6ED9"/>
    <w:rsid w:val="00D001C8"/>
    <w:rsid w:val="00D0028B"/>
    <w:rsid w:val="00D00656"/>
    <w:rsid w:val="00D02736"/>
    <w:rsid w:val="00D02B45"/>
    <w:rsid w:val="00D068A1"/>
    <w:rsid w:val="00D11652"/>
    <w:rsid w:val="00D127A4"/>
    <w:rsid w:val="00D128FD"/>
    <w:rsid w:val="00D20306"/>
    <w:rsid w:val="00D20BAD"/>
    <w:rsid w:val="00D22E24"/>
    <w:rsid w:val="00D30CE5"/>
    <w:rsid w:val="00D3179A"/>
    <w:rsid w:val="00D32686"/>
    <w:rsid w:val="00D33FC3"/>
    <w:rsid w:val="00D373DD"/>
    <w:rsid w:val="00D419BF"/>
    <w:rsid w:val="00D43607"/>
    <w:rsid w:val="00D43657"/>
    <w:rsid w:val="00D436F5"/>
    <w:rsid w:val="00D43B90"/>
    <w:rsid w:val="00D52028"/>
    <w:rsid w:val="00D55A0F"/>
    <w:rsid w:val="00D62F3E"/>
    <w:rsid w:val="00D64678"/>
    <w:rsid w:val="00D656B0"/>
    <w:rsid w:val="00D679B7"/>
    <w:rsid w:val="00D72257"/>
    <w:rsid w:val="00D72752"/>
    <w:rsid w:val="00D733C6"/>
    <w:rsid w:val="00D73B50"/>
    <w:rsid w:val="00D80847"/>
    <w:rsid w:val="00D83C0D"/>
    <w:rsid w:val="00D8621E"/>
    <w:rsid w:val="00D90B2D"/>
    <w:rsid w:val="00D9373E"/>
    <w:rsid w:val="00D94EB2"/>
    <w:rsid w:val="00D96A4D"/>
    <w:rsid w:val="00DA0940"/>
    <w:rsid w:val="00DA0B5F"/>
    <w:rsid w:val="00DA15B5"/>
    <w:rsid w:val="00DA2510"/>
    <w:rsid w:val="00DA4200"/>
    <w:rsid w:val="00DA5444"/>
    <w:rsid w:val="00DA77DD"/>
    <w:rsid w:val="00DB30B8"/>
    <w:rsid w:val="00DB5F7D"/>
    <w:rsid w:val="00DB6AFF"/>
    <w:rsid w:val="00DC0F3A"/>
    <w:rsid w:val="00DC27B1"/>
    <w:rsid w:val="00DC378E"/>
    <w:rsid w:val="00DC4020"/>
    <w:rsid w:val="00DC70C3"/>
    <w:rsid w:val="00DC7A8E"/>
    <w:rsid w:val="00DD02D5"/>
    <w:rsid w:val="00DD495E"/>
    <w:rsid w:val="00DE1F25"/>
    <w:rsid w:val="00DE2173"/>
    <w:rsid w:val="00DE4098"/>
    <w:rsid w:val="00DE5909"/>
    <w:rsid w:val="00DE79DF"/>
    <w:rsid w:val="00DF0FAE"/>
    <w:rsid w:val="00DF0FF6"/>
    <w:rsid w:val="00DF2D1D"/>
    <w:rsid w:val="00DF698D"/>
    <w:rsid w:val="00DF78C7"/>
    <w:rsid w:val="00E01025"/>
    <w:rsid w:val="00E0196D"/>
    <w:rsid w:val="00E01D9E"/>
    <w:rsid w:val="00E024CF"/>
    <w:rsid w:val="00E028F5"/>
    <w:rsid w:val="00E02ED7"/>
    <w:rsid w:val="00E15E04"/>
    <w:rsid w:val="00E17A3F"/>
    <w:rsid w:val="00E202A3"/>
    <w:rsid w:val="00E23C84"/>
    <w:rsid w:val="00E2442C"/>
    <w:rsid w:val="00E25B35"/>
    <w:rsid w:val="00E25C7F"/>
    <w:rsid w:val="00E3084D"/>
    <w:rsid w:val="00E3085C"/>
    <w:rsid w:val="00E30D2F"/>
    <w:rsid w:val="00E31B47"/>
    <w:rsid w:val="00E32F91"/>
    <w:rsid w:val="00E346C6"/>
    <w:rsid w:val="00E35275"/>
    <w:rsid w:val="00E36644"/>
    <w:rsid w:val="00E36BD2"/>
    <w:rsid w:val="00E40299"/>
    <w:rsid w:val="00E42312"/>
    <w:rsid w:val="00E446CB"/>
    <w:rsid w:val="00E474CD"/>
    <w:rsid w:val="00E50D53"/>
    <w:rsid w:val="00E51323"/>
    <w:rsid w:val="00E53EE2"/>
    <w:rsid w:val="00E54A90"/>
    <w:rsid w:val="00E55CDA"/>
    <w:rsid w:val="00E67C6A"/>
    <w:rsid w:val="00E711CA"/>
    <w:rsid w:val="00E71FDF"/>
    <w:rsid w:val="00E74027"/>
    <w:rsid w:val="00E7501C"/>
    <w:rsid w:val="00E81F43"/>
    <w:rsid w:val="00E82068"/>
    <w:rsid w:val="00E820D9"/>
    <w:rsid w:val="00E83006"/>
    <w:rsid w:val="00E843F3"/>
    <w:rsid w:val="00E8612D"/>
    <w:rsid w:val="00E866DF"/>
    <w:rsid w:val="00E867E2"/>
    <w:rsid w:val="00E9142A"/>
    <w:rsid w:val="00E916F4"/>
    <w:rsid w:val="00E979E1"/>
    <w:rsid w:val="00E97F65"/>
    <w:rsid w:val="00EA12D8"/>
    <w:rsid w:val="00EA1E8D"/>
    <w:rsid w:val="00EA2CE1"/>
    <w:rsid w:val="00EA2FCC"/>
    <w:rsid w:val="00EA43E7"/>
    <w:rsid w:val="00EA6B71"/>
    <w:rsid w:val="00EA75D0"/>
    <w:rsid w:val="00EB161E"/>
    <w:rsid w:val="00EB1B73"/>
    <w:rsid w:val="00EB30FF"/>
    <w:rsid w:val="00EB3556"/>
    <w:rsid w:val="00EB3B14"/>
    <w:rsid w:val="00EB69FD"/>
    <w:rsid w:val="00EB71D9"/>
    <w:rsid w:val="00EB7C4A"/>
    <w:rsid w:val="00EC0932"/>
    <w:rsid w:val="00EC779C"/>
    <w:rsid w:val="00ED06B5"/>
    <w:rsid w:val="00ED469E"/>
    <w:rsid w:val="00ED64BF"/>
    <w:rsid w:val="00ED68BE"/>
    <w:rsid w:val="00EE04DD"/>
    <w:rsid w:val="00EE123E"/>
    <w:rsid w:val="00EE5474"/>
    <w:rsid w:val="00EE6EE5"/>
    <w:rsid w:val="00EF13C5"/>
    <w:rsid w:val="00EF23C1"/>
    <w:rsid w:val="00EF7571"/>
    <w:rsid w:val="00EF7A01"/>
    <w:rsid w:val="00EF7EB8"/>
    <w:rsid w:val="00F00126"/>
    <w:rsid w:val="00F00819"/>
    <w:rsid w:val="00F00A13"/>
    <w:rsid w:val="00F0175E"/>
    <w:rsid w:val="00F027B4"/>
    <w:rsid w:val="00F02D49"/>
    <w:rsid w:val="00F04114"/>
    <w:rsid w:val="00F07187"/>
    <w:rsid w:val="00F112AB"/>
    <w:rsid w:val="00F14D9E"/>
    <w:rsid w:val="00F1543B"/>
    <w:rsid w:val="00F173B9"/>
    <w:rsid w:val="00F24BD6"/>
    <w:rsid w:val="00F25686"/>
    <w:rsid w:val="00F25977"/>
    <w:rsid w:val="00F25F00"/>
    <w:rsid w:val="00F275B6"/>
    <w:rsid w:val="00F328CC"/>
    <w:rsid w:val="00F33720"/>
    <w:rsid w:val="00F347D3"/>
    <w:rsid w:val="00F348F9"/>
    <w:rsid w:val="00F36940"/>
    <w:rsid w:val="00F377A8"/>
    <w:rsid w:val="00F37DD3"/>
    <w:rsid w:val="00F40B2D"/>
    <w:rsid w:val="00F42555"/>
    <w:rsid w:val="00F430AC"/>
    <w:rsid w:val="00F53A48"/>
    <w:rsid w:val="00F5528C"/>
    <w:rsid w:val="00F56E72"/>
    <w:rsid w:val="00F64C80"/>
    <w:rsid w:val="00F670EC"/>
    <w:rsid w:val="00F767B4"/>
    <w:rsid w:val="00F82BA1"/>
    <w:rsid w:val="00F83A8A"/>
    <w:rsid w:val="00F83EDC"/>
    <w:rsid w:val="00F84D80"/>
    <w:rsid w:val="00F93F65"/>
    <w:rsid w:val="00F96A7E"/>
    <w:rsid w:val="00F97CAC"/>
    <w:rsid w:val="00FA44A5"/>
    <w:rsid w:val="00FA4EE5"/>
    <w:rsid w:val="00FA4F21"/>
    <w:rsid w:val="00FA5EC5"/>
    <w:rsid w:val="00FB01FF"/>
    <w:rsid w:val="00FB186B"/>
    <w:rsid w:val="00FB1982"/>
    <w:rsid w:val="00FB33B0"/>
    <w:rsid w:val="00FB39B3"/>
    <w:rsid w:val="00FB3A4F"/>
    <w:rsid w:val="00FB7A53"/>
    <w:rsid w:val="00FC015F"/>
    <w:rsid w:val="00FC37CB"/>
    <w:rsid w:val="00FC3C0F"/>
    <w:rsid w:val="00FC419C"/>
    <w:rsid w:val="00FD0BC3"/>
    <w:rsid w:val="00FD1995"/>
    <w:rsid w:val="00FD2CE9"/>
    <w:rsid w:val="00FD5558"/>
    <w:rsid w:val="00FD6AEC"/>
    <w:rsid w:val="00FD74D8"/>
    <w:rsid w:val="00FE16DD"/>
    <w:rsid w:val="00FE1A50"/>
    <w:rsid w:val="00FE4EE2"/>
    <w:rsid w:val="00FE7EF1"/>
    <w:rsid w:val="00FF2281"/>
    <w:rsid w:val="00FF3DBB"/>
    <w:rsid w:val="00FF5E7B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D5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C84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C84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C84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23C84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E23C84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23C84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23C84"/>
    <w:pPr>
      <w:keepNext/>
      <w:keepLines/>
      <w:spacing w:before="200"/>
      <w:outlineLvl w:val="6"/>
    </w:pPr>
    <w:rPr>
      <w:rFonts w:ascii="Calibri" w:eastAsia="Times New Roman" w:hAnsi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23C84"/>
    <w:pPr>
      <w:keepNext/>
      <w:keepLines/>
      <w:spacing w:before="200"/>
      <w:outlineLvl w:val="7"/>
    </w:pPr>
    <w:rPr>
      <w:rFonts w:ascii="Calibri" w:eastAsia="Times New Roman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23C84"/>
    <w:pPr>
      <w:keepNext/>
      <w:keepLines/>
      <w:spacing w:before="200"/>
      <w:outlineLvl w:val="8"/>
    </w:pPr>
    <w:rPr>
      <w:rFonts w:ascii="Calibri" w:eastAsia="Times New Roman" w:hAnsi="Calibri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C84"/>
    <w:rPr>
      <w:rFonts w:ascii="Calibri" w:eastAsia="Times New Roman" w:hAnsi="Calibri"/>
      <w:b/>
      <w:bCs/>
      <w:color w:val="345A8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2215C"/>
    <w:rPr>
      <w:rFonts w:ascii="Calibri" w:eastAsia="Times New Roman" w:hAnsi="Calibri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2215C"/>
    <w:rPr>
      <w:rFonts w:ascii="Calibri" w:eastAsia="Times New Roman" w:hAnsi="Calibri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666"/>
    <w:rPr>
      <w:rFonts w:ascii="Calibri" w:eastAsia="Times New Roman" w:hAnsi="Calibri"/>
      <w:b/>
      <w:bCs/>
      <w:i/>
      <w:iCs/>
      <w:color w:val="4F81BD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666"/>
    <w:rPr>
      <w:rFonts w:ascii="Calibri" w:eastAsia="Times New Roman" w:hAnsi="Calibri"/>
      <w:color w:val="243F6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5666"/>
    <w:rPr>
      <w:rFonts w:ascii="Calibri" w:eastAsia="Times New Roman" w:hAnsi="Calibri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666"/>
    <w:rPr>
      <w:rFonts w:ascii="Calibri" w:eastAsia="Times New Roman" w:hAnsi="Calibri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666"/>
    <w:rPr>
      <w:rFonts w:ascii="Calibri" w:eastAsia="Times New Roman" w:hAnsi="Calibri"/>
      <w:color w:val="40404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666"/>
    <w:rPr>
      <w:rFonts w:ascii="Calibri" w:eastAsia="Times New Roman" w:hAnsi="Calibri"/>
      <w:i/>
      <w:iCs/>
      <w:color w:val="404040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23C84"/>
    <w:pPr>
      <w:spacing w:before="120"/>
    </w:pPr>
    <w:rPr>
      <w:rFonts w:ascii="Calibri" w:hAnsi="Calibr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23C8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23C84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23C84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E23C84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E23C84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E23C84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E23C84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23C84"/>
    <w:rPr>
      <w:rFonts w:ascii="Times New Roman" w:eastAsia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E23C84"/>
    <w:rPr>
      <w:rFonts w:ascii="Times New Roman" w:eastAsia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E23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15C"/>
    <w:rPr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E23C84"/>
  </w:style>
  <w:style w:type="character" w:styleId="FootnoteReference">
    <w:name w:val="footnote reference"/>
    <w:semiHidden/>
    <w:rsid w:val="00E23C84"/>
    <w:rPr>
      <w:vertAlign w:val="superscript"/>
    </w:rPr>
  </w:style>
  <w:style w:type="character" w:styleId="EndnoteReference">
    <w:name w:val="endnote reference"/>
    <w:basedOn w:val="DefaultParagraphFont"/>
    <w:uiPriority w:val="99"/>
    <w:rsid w:val="00E23C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23C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45666"/>
    <w:rPr>
      <w:lang w:val="en-US"/>
    </w:rPr>
  </w:style>
  <w:style w:type="paragraph" w:styleId="TableofAuthorities">
    <w:name w:val="table of authorities"/>
    <w:basedOn w:val="Normal"/>
    <w:next w:val="Normal"/>
    <w:uiPriority w:val="99"/>
    <w:unhideWhenUsed/>
    <w:rsid w:val="00E23C84"/>
    <w:pPr>
      <w:ind w:left="240" w:hanging="240"/>
    </w:pPr>
  </w:style>
  <w:style w:type="paragraph" w:styleId="ListBullet">
    <w:name w:val="List Bullet"/>
    <w:basedOn w:val="Normal"/>
    <w:uiPriority w:val="99"/>
    <w:semiHidden/>
    <w:rsid w:val="00E23C84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rsid w:val="00E23C84"/>
    <w:pPr>
      <w:numPr>
        <w:numId w:val="14"/>
      </w:numPr>
      <w:spacing w:before="100" w:after="100"/>
      <w:contextualSpacing/>
      <w:jc w:val="both"/>
    </w:pPr>
  </w:style>
  <w:style w:type="paragraph" w:styleId="ListBullet2">
    <w:name w:val="List Bullet 2"/>
    <w:basedOn w:val="Normal"/>
    <w:uiPriority w:val="99"/>
    <w:semiHidden/>
    <w:rsid w:val="00E23C84"/>
    <w:pPr>
      <w:numPr>
        <w:numId w:val="12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3C84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3C84"/>
    <w:rPr>
      <w:rFonts w:ascii="Calibri" w:eastAsia="Times New Roman" w:hAnsi="Calibri"/>
      <w:color w:val="183A63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E23C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215C"/>
    <w:rPr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23C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215C"/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E23C84"/>
    <w:pPr>
      <w:numPr>
        <w:ilvl w:val="1"/>
      </w:numPr>
    </w:pPr>
    <w:rPr>
      <w:rFonts w:ascii="Calibri" w:eastAsia="Times New Roman" w:hAnsi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45666"/>
    <w:rPr>
      <w:rFonts w:ascii="Calibri" w:eastAsia="Times New Roman" w:hAnsi="Calibri"/>
      <w:i/>
      <w:iCs/>
      <w:color w:val="4F81BD"/>
      <w:spacing w:val="15"/>
      <w:sz w:val="24"/>
      <w:szCs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rsid w:val="00E23C84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645666"/>
    <w:rPr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23C8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215C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rsid w:val="00E23C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15C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rsid w:val="00E23C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215C"/>
    <w:rPr>
      <w:sz w:val="16"/>
      <w:szCs w:val="16"/>
      <w:lang w:val="en-US"/>
    </w:rPr>
  </w:style>
  <w:style w:type="paragraph" w:styleId="BlockText">
    <w:name w:val="Block Text"/>
    <w:basedOn w:val="Normal"/>
    <w:uiPriority w:val="99"/>
    <w:semiHidden/>
    <w:rsid w:val="00E23C84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character" w:styleId="Hyperlink">
    <w:name w:val="Hyperlink"/>
    <w:uiPriority w:val="99"/>
    <w:rsid w:val="00E23C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23C84"/>
    <w:rPr>
      <w:color w:val="0070C0"/>
      <w:u w:val="single"/>
    </w:rPr>
  </w:style>
  <w:style w:type="character" w:styleId="Strong">
    <w:name w:val="Strong"/>
    <w:basedOn w:val="DefaultParagraphFont"/>
    <w:uiPriority w:val="22"/>
    <w:qFormat/>
    <w:rsid w:val="00E23C84"/>
    <w:rPr>
      <w:b/>
      <w:bCs/>
    </w:rPr>
  </w:style>
  <w:style w:type="character" w:styleId="Emphasis">
    <w:name w:val="Emphasis"/>
    <w:basedOn w:val="DefaultParagraphFont"/>
    <w:uiPriority w:val="20"/>
    <w:qFormat/>
    <w:rsid w:val="00E23C8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rsid w:val="00E23C84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666"/>
    <w:rPr>
      <w:rFonts w:ascii="Calibri" w:hAnsi="Calibri"/>
      <w:sz w:val="22"/>
      <w:szCs w:val="21"/>
      <w:lang w:val="en-US"/>
    </w:rPr>
  </w:style>
  <w:style w:type="paragraph" w:styleId="E-mailSignature">
    <w:name w:val="E-mail Signature"/>
    <w:basedOn w:val="Normal"/>
    <w:link w:val="E-mailSignatureChar"/>
    <w:uiPriority w:val="99"/>
    <w:rsid w:val="00E23C84"/>
  </w:style>
  <w:style w:type="character" w:customStyle="1" w:styleId="E-mailSignatureChar">
    <w:name w:val="E-mail Signature Char"/>
    <w:basedOn w:val="DefaultParagraphFont"/>
    <w:link w:val="E-mailSignature"/>
    <w:uiPriority w:val="99"/>
    <w:rsid w:val="00645666"/>
    <w:rPr>
      <w:sz w:val="24"/>
      <w:szCs w:val="24"/>
      <w:lang w:val="en-US"/>
    </w:rPr>
  </w:style>
  <w:style w:type="paragraph" w:styleId="NormalWeb">
    <w:name w:val="Normal (Web)"/>
    <w:basedOn w:val="Normal"/>
    <w:semiHidden/>
    <w:rsid w:val="00E23C8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Contemporary">
    <w:name w:val="Table Contemporary"/>
    <w:basedOn w:val="TableNormal"/>
    <w:uiPriority w:val="99"/>
    <w:unhideWhenUsed/>
    <w:rsid w:val="00E23C84"/>
    <w:rPr>
      <w:lang w:eastAsia="en-I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E23C84"/>
    <w:rPr>
      <w:lang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semiHidden/>
    <w:qFormat/>
    <w:rsid w:val="00E23C84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23C84"/>
    <w:pPr>
      <w:spacing w:after="200" w:line="276" w:lineRule="auto"/>
      <w:ind w:left="720"/>
      <w:contextualSpacing/>
    </w:pPr>
    <w:rPr>
      <w:rFonts w:eastAsia="Times New Roman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qFormat/>
    <w:rsid w:val="00E23C8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E23C84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33"/>
    <w:semiHidden/>
    <w:qFormat/>
    <w:rsid w:val="00E23C84"/>
    <w:rPr>
      <w:b/>
      <w:bCs/>
      <w:smallCaps/>
      <w:spacing w:val="5"/>
    </w:rPr>
  </w:style>
  <w:style w:type="paragraph" w:styleId="Bibliography">
    <w:name w:val="Bibliography"/>
    <w:basedOn w:val="Normal"/>
    <w:next w:val="Normal"/>
    <w:uiPriority w:val="37"/>
    <w:semiHidden/>
    <w:rsid w:val="00E23C84"/>
  </w:style>
  <w:style w:type="paragraph" w:customStyle="1" w:styleId="Article">
    <w:name w:val="Article"/>
    <w:basedOn w:val="Normal"/>
    <w:qFormat/>
    <w:rsid w:val="00E23C84"/>
    <w:rPr>
      <w:color w:val="262626"/>
    </w:rPr>
  </w:style>
  <w:style w:type="paragraph" w:customStyle="1" w:styleId="CustomReference">
    <w:name w:val="CustomReference"/>
    <w:basedOn w:val="ListNumber"/>
    <w:qFormat/>
    <w:rsid w:val="00E23C84"/>
    <w:pPr>
      <w:numPr>
        <w:numId w:val="0"/>
      </w:numPr>
    </w:pPr>
  </w:style>
  <w:style w:type="paragraph" w:customStyle="1" w:styleId="ImageStyle">
    <w:name w:val="ImageStyle"/>
    <w:basedOn w:val="Normal"/>
    <w:autoRedefine/>
    <w:qFormat/>
    <w:rsid w:val="00E23C84"/>
    <w:rPr>
      <w:b/>
      <w:bCs/>
      <w:noProof/>
      <w:lang w:val="en-IN" w:eastAsia="en-IN"/>
    </w:rPr>
  </w:style>
  <w:style w:type="paragraph" w:customStyle="1" w:styleId="ImageCaption">
    <w:name w:val="ImageCaption"/>
    <w:basedOn w:val="Normal"/>
    <w:qFormat/>
    <w:rsid w:val="00E23C84"/>
  </w:style>
  <w:style w:type="paragraph" w:customStyle="1" w:styleId="TableStyle">
    <w:name w:val="TableStyle"/>
    <w:basedOn w:val="Normal"/>
    <w:qFormat/>
    <w:rsid w:val="00E23C84"/>
    <w:rPr>
      <w:rFonts w:asciiTheme="minorHAnsi" w:eastAsiaTheme="minorHAnsi" w:hAnsiTheme="minorHAnsi" w:cstheme="minorBidi"/>
    </w:rPr>
  </w:style>
  <w:style w:type="paragraph" w:customStyle="1" w:styleId="TableCaption">
    <w:name w:val="TableCaption"/>
    <w:basedOn w:val="Normal"/>
    <w:qFormat/>
    <w:rsid w:val="00E23C84"/>
  </w:style>
  <w:style w:type="character" w:customStyle="1" w:styleId="Subscript">
    <w:name w:val="Subscript"/>
    <w:uiPriority w:val="1"/>
    <w:rsid w:val="00917BA5"/>
    <w:rPr>
      <w:vertAlign w:val="subscript"/>
      <w:lang w:val="en-IN"/>
    </w:rPr>
  </w:style>
  <w:style w:type="paragraph" w:customStyle="1" w:styleId="a">
    <w:name w:val="间隔符"/>
    <w:basedOn w:val="Normal"/>
    <w:link w:val="CharChar"/>
    <w:qFormat/>
    <w:rsid w:val="00296656"/>
    <w:pPr>
      <w:widowControl w:val="0"/>
      <w:snapToGrid w:val="0"/>
      <w:spacing w:after="200" w:line="120" w:lineRule="exact"/>
      <w:jc w:val="both"/>
    </w:pPr>
    <w:rPr>
      <w:rFonts w:ascii="Times New Roman" w:eastAsia="SimSun" w:hAnsi="Times New Roman"/>
      <w:kern w:val="2"/>
      <w:szCs w:val="20"/>
      <w:lang w:eastAsia="zh-CN"/>
    </w:rPr>
  </w:style>
  <w:style w:type="character" w:customStyle="1" w:styleId="CharChar">
    <w:name w:val="间隔符 Char Char"/>
    <w:link w:val="a"/>
    <w:rsid w:val="00296656"/>
    <w:rPr>
      <w:rFonts w:ascii="Times New Roman" w:eastAsia="SimSun" w:hAnsi="Times New Roman"/>
      <w:kern w:val="2"/>
      <w:sz w:val="24"/>
      <w:lang w:val="en-US" w:eastAsia="zh-CN"/>
    </w:rPr>
  </w:style>
  <w:style w:type="character" w:customStyle="1" w:styleId="wordother">
    <w:name w:val="word_other"/>
    <w:basedOn w:val="DefaultParagraphFont"/>
    <w:rsid w:val="00296656"/>
  </w:style>
  <w:style w:type="character" w:customStyle="1" w:styleId="apple-converted-space">
    <w:name w:val="apple-converted-space"/>
    <w:basedOn w:val="DefaultParagraphFont"/>
    <w:rsid w:val="00174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812</Words>
  <Characters>4632</Characters>
  <Application>Microsoft Office Word</Application>
  <DocSecurity>0</DocSecurity>
  <Lines>38</Lines>
  <Paragraphs>10</Paragraphs>
  <ScaleCrop>false</ScaleCrop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saikishore-k</dc:creator>
  <cp:lastModifiedBy>TN Swamy</cp:lastModifiedBy>
  <cp:revision>5</cp:revision>
  <dcterms:created xsi:type="dcterms:W3CDTF">2014-04-28T08:17:00Z</dcterms:created>
  <dcterms:modified xsi:type="dcterms:W3CDTF">2018-11-16T09:12:00Z</dcterms:modified>
</cp:coreProperties>
</file>